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EFDBF0" w14:textId="77777777" w:rsidR="00D81755" w:rsidRDefault="00D81755">
      <w:pPr>
        <w:widowControl w:val="0"/>
        <w:pBdr>
          <w:top w:val="nil"/>
          <w:left w:val="nil"/>
          <w:bottom w:val="nil"/>
          <w:right w:val="nil"/>
          <w:between w:val="nil"/>
        </w:pBdr>
        <w:spacing w:line="276" w:lineRule="auto"/>
      </w:pPr>
    </w:p>
    <w:p w14:paraId="24EFDBF1" w14:textId="77777777" w:rsidR="00D81755" w:rsidRDefault="0073296A">
      <w:pPr>
        <w:jc w:val="center"/>
        <w:rPr>
          <w:b/>
          <w:bCs/>
          <w:color w:val="666699"/>
          <w:sz w:val="28"/>
          <w:szCs w:val="28"/>
        </w:rPr>
      </w:pPr>
      <w:r>
        <w:rPr>
          <w:b/>
          <w:bCs/>
          <w:noProof/>
          <w:color w:val="666699"/>
          <w:sz w:val="28"/>
          <w:szCs w:val="28"/>
        </w:rPr>
        <w:drawing>
          <wp:inline distT="0" distB="0" distL="0" distR="0" wp14:anchorId="24EFE197" wp14:editId="2C221AE5">
            <wp:extent cx="4487545" cy="697865"/>
            <wp:effectExtent l="0" t="0" r="0" b="0"/>
            <wp:docPr id="1" name="image1.png" descr="Stony Brook Medicine logo"/>
            <wp:cNvGraphicFramePr/>
            <a:graphic xmlns:a="http://schemas.openxmlformats.org/drawingml/2006/main">
              <a:graphicData uri="http://schemas.openxmlformats.org/drawingml/2006/picture">
                <pic:pic xmlns:pic="http://schemas.openxmlformats.org/drawingml/2006/picture">
                  <pic:nvPicPr>
                    <pic:cNvPr id="1" name="image1.png" descr="Stony Brook Medicine logo"/>
                    <pic:cNvPicPr preferRelativeResize="0"/>
                  </pic:nvPicPr>
                  <pic:blipFill>
                    <a:blip r:embed="rId8"/>
                    <a:srcRect/>
                    <a:stretch>
                      <a:fillRect/>
                    </a:stretch>
                  </pic:blipFill>
                  <pic:spPr>
                    <a:xfrm>
                      <a:off x="0" y="0"/>
                      <a:ext cx="4487545" cy="697865"/>
                    </a:xfrm>
                    <a:prstGeom prst="rect">
                      <a:avLst/>
                    </a:prstGeom>
                    <a:ln/>
                  </pic:spPr>
                </pic:pic>
              </a:graphicData>
            </a:graphic>
          </wp:inline>
        </w:drawing>
      </w:r>
    </w:p>
    <w:p w14:paraId="24EFDBF2" w14:textId="77777777" w:rsidR="00D81755" w:rsidRDefault="00D81755">
      <w:pPr>
        <w:jc w:val="center"/>
        <w:rPr>
          <w:b/>
          <w:bCs/>
        </w:rPr>
      </w:pPr>
    </w:p>
    <w:p w14:paraId="24EFDBF3" w14:textId="77777777" w:rsidR="00D81755" w:rsidRDefault="00D81755">
      <w:pPr>
        <w:jc w:val="center"/>
        <w:rPr>
          <w:b/>
          <w:bCs/>
        </w:rPr>
      </w:pPr>
    </w:p>
    <w:p w14:paraId="24EFDBF4" w14:textId="77777777" w:rsidR="00D81755" w:rsidRDefault="00D81755">
      <w:pPr>
        <w:jc w:val="center"/>
        <w:rPr>
          <w:b/>
          <w:bCs/>
        </w:rPr>
      </w:pPr>
    </w:p>
    <w:p w14:paraId="24EFDBF5" w14:textId="77777777" w:rsidR="00D81755" w:rsidRDefault="00D81755">
      <w:pPr>
        <w:jc w:val="center"/>
        <w:rPr>
          <w:b/>
          <w:bCs/>
        </w:rPr>
      </w:pPr>
    </w:p>
    <w:p w14:paraId="24EFDBF6" w14:textId="77777777" w:rsidR="00D81755" w:rsidRDefault="0073296A">
      <w:pPr>
        <w:jc w:val="center"/>
        <w:rPr>
          <w:b/>
          <w:bCs/>
          <w:sz w:val="52"/>
          <w:szCs w:val="52"/>
        </w:rPr>
      </w:pPr>
      <w:r>
        <w:rPr>
          <w:b/>
          <w:bCs/>
          <w:sz w:val="56"/>
          <w:szCs w:val="56"/>
        </w:rPr>
        <w:t>PROGRAM IN PUBLIC HEALTH</w:t>
      </w:r>
      <w:r>
        <w:rPr>
          <w:b/>
          <w:bCs/>
          <w:sz w:val="56"/>
          <w:szCs w:val="56"/>
        </w:rPr>
        <w:br/>
      </w:r>
      <w:r>
        <w:rPr>
          <w:b/>
          <w:bCs/>
          <w:sz w:val="52"/>
          <w:szCs w:val="52"/>
        </w:rPr>
        <w:t>BULLETIN</w:t>
      </w:r>
    </w:p>
    <w:p w14:paraId="24EFDBF7" w14:textId="77777777" w:rsidR="00D81755" w:rsidRDefault="00D81755">
      <w:pPr>
        <w:jc w:val="center"/>
        <w:rPr>
          <w:b/>
          <w:bCs/>
          <w:sz w:val="20"/>
          <w:szCs w:val="20"/>
        </w:rPr>
      </w:pPr>
    </w:p>
    <w:p w14:paraId="24EFDBF8" w14:textId="77777777" w:rsidR="00D81755" w:rsidRDefault="0073296A">
      <w:pPr>
        <w:jc w:val="center"/>
        <w:rPr>
          <w:b/>
          <w:bCs/>
          <w:smallCaps/>
          <w:sz w:val="36"/>
          <w:szCs w:val="36"/>
        </w:rPr>
      </w:pPr>
      <w:r>
        <w:rPr>
          <w:b/>
          <w:bCs/>
          <w:smallCaps/>
          <w:sz w:val="36"/>
          <w:szCs w:val="36"/>
        </w:rPr>
        <w:t>Academic Year 2026-2027</w:t>
      </w:r>
    </w:p>
    <w:p w14:paraId="24EFDBF9" w14:textId="77777777" w:rsidR="00D81755" w:rsidRDefault="00D81755">
      <w:pPr>
        <w:jc w:val="center"/>
        <w:rPr>
          <w:b/>
          <w:bCs/>
          <w:smallCaps/>
          <w:sz w:val="36"/>
          <w:szCs w:val="36"/>
        </w:rPr>
      </w:pPr>
    </w:p>
    <w:p w14:paraId="24EFDBFA" w14:textId="77777777" w:rsidR="00D81755" w:rsidRDefault="00D81755">
      <w:pPr>
        <w:jc w:val="center"/>
        <w:rPr>
          <w:b/>
          <w:bCs/>
          <w:sz w:val="20"/>
          <w:szCs w:val="20"/>
        </w:rPr>
      </w:pPr>
    </w:p>
    <w:p w14:paraId="24EFDBFB" w14:textId="77777777" w:rsidR="00D81755" w:rsidRDefault="00D81755">
      <w:pPr>
        <w:jc w:val="center"/>
        <w:rPr>
          <w:b/>
          <w:bCs/>
          <w:sz w:val="22"/>
          <w:szCs w:val="22"/>
        </w:rPr>
      </w:pPr>
    </w:p>
    <w:p w14:paraId="24EFDBFC" w14:textId="77777777" w:rsidR="00D81755" w:rsidRDefault="00D81755">
      <w:pPr>
        <w:jc w:val="center"/>
        <w:rPr>
          <w:b/>
          <w:bCs/>
          <w:sz w:val="22"/>
          <w:szCs w:val="22"/>
        </w:rPr>
      </w:pPr>
    </w:p>
    <w:p w14:paraId="24EFDBFD" w14:textId="77777777" w:rsidR="00D81755" w:rsidRDefault="00D81755">
      <w:pPr>
        <w:jc w:val="center"/>
        <w:rPr>
          <w:b/>
          <w:bCs/>
          <w:sz w:val="22"/>
          <w:szCs w:val="22"/>
        </w:rPr>
      </w:pPr>
    </w:p>
    <w:p w14:paraId="24EFDBFE" w14:textId="77777777" w:rsidR="00D81755" w:rsidRDefault="00D81755">
      <w:pPr>
        <w:jc w:val="center"/>
        <w:rPr>
          <w:b/>
          <w:bCs/>
          <w:sz w:val="22"/>
          <w:szCs w:val="22"/>
        </w:rPr>
      </w:pPr>
    </w:p>
    <w:p w14:paraId="24EFDBFF" w14:textId="77777777" w:rsidR="00D81755" w:rsidRDefault="0073296A">
      <w:pPr>
        <w:jc w:val="center"/>
        <w:rPr>
          <w:b/>
          <w:bCs/>
          <w:sz w:val="22"/>
          <w:szCs w:val="22"/>
        </w:rPr>
      </w:pPr>
      <w:r>
        <w:rPr>
          <w:b/>
          <w:bCs/>
          <w:sz w:val="22"/>
          <w:szCs w:val="22"/>
        </w:rPr>
        <w:t>CONTACT INFORMATION</w:t>
      </w:r>
    </w:p>
    <w:p w14:paraId="24EFDC00" w14:textId="77777777" w:rsidR="00D81755" w:rsidRDefault="0073296A">
      <w:pPr>
        <w:jc w:val="center"/>
      </w:pPr>
      <w:hyperlink r:id="rId9">
        <w:r>
          <w:rPr>
            <w:color w:val="0000FF"/>
            <w:u w:val="single"/>
          </w:rPr>
          <w:t>http://publichealth.stonybrookmedicine.edu/</w:t>
        </w:r>
      </w:hyperlink>
    </w:p>
    <w:p w14:paraId="24EFDC01" w14:textId="77777777" w:rsidR="00D81755" w:rsidRDefault="0073296A">
      <w:pPr>
        <w:jc w:val="center"/>
        <w:rPr>
          <w:sz w:val="22"/>
          <w:szCs w:val="22"/>
        </w:rPr>
      </w:pPr>
      <w:r>
        <w:rPr>
          <w:sz w:val="22"/>
          <w:szCs w:val="22"/>
        </w:rPr>
        <w:t xml:space="preserve">Stony Brook University </w:t>
      </w:r>
    </w:p>
    <w:p w14:paraId="24EFDC02" w14:textId="77777777" w:rsidR="00D81755" w:rsidRDefault="0073296A">
      <w:pPr>
        <w:jc w:val="center"/>
        <w:rPr>
          <w:sz w:val="22"/>
          <w:szCs w:val="22"/>
        </w:rPr>
      </w:pPr>
      <w:r>
        <w:rPr>
          <w:sz w:val="22"/>
          <w:szCs w:val="22"/>
        </w:rPr>
        <w:t>Health Sciences Center, Level 3, Room 071</w:t>
      </w:r>
    </w:p>
    <w:p w14:paraId="24EFDC03" w14:textId="77777777" w:rsidR="00D81755" w:rsidRDefault="0073296A">
      <w:pPr>
        <w:jc w:val="center"/>
        <w:rPr>
          <w:sz w:val="22"/>
          <w:szCs w:val="22"/>
        </w:rPr>
      </w:pPr>
      <w:r>
        <w:rPr>
          <w:sz w:val="22"/>
          <w:szCs w:val="22"/>
        </w:rPr>
        <w:t>Stony Brook, NY  11794-8338</w:t>
      </w:r>
    </w:p>
    <w:p w14:paraId="24EFDC04" w14:textId="77777777" w:rsidR="00D81755" w:rsidRDefault="00D81755">
      <w:pPr>
        <w:jc w:val="center"/>
        <w:rPr>
          <w:sz w:val="22"/>
          <w:szCs w:val="22"/>
        </w:rPr>
      </w:pPr>
    </w:p>
    <w:p w14:paraId="24EFDC05" w14:textId="77777777" w:rsidR="00D81755" w:rsidRDefault="0073296A">
      <w:pPr>
        <w:rPr>
          <w:sz w:val="22"/>
          <w:szCs w:val="22"/>
        </w:rPr>
      </w:pPr>
      <w:r>
        <w:br w:type="page"/>
      </w:r>
    </w:p>
    <w:p w14:paraId="24EFDC06" w14:textId="77777777" w:rsidR="00D81755" w:rsidRDefault="00D81755">
      <w:pPr>
        <w:jc w:val="center"/>
        <w:rPr>
          <w:b/>
          <w:bCs/>
          <w:sz w:val="22"/>
          <w:szCs w:val="22"/>
        </w:rPr>
      </w:pPr>
    </w:p>
    <w:p w14:paraId="24EFDC07" w14:textId="77777777" w:rsidR="00D81755" w:rsidRDefault="00D81755">
      <w:pPr>
        <w:jc w:val="center"/>
        <w:rPr>
          <w:b/>
          <w:bCs/>
          <w:sz w:val="22"/>
          <w:szCs w:val="22"/>
        </w:rPr>
      </w:pPr>
    </w:p>
    <w:p w14:paraId="24EFDC08" w14:textId="77777777" w:rsidR="00D81755" w:rsidRDefault="00D81755">
      <w:pPr>
        <w:jc w:val="center"/>
        <w:rPr>
          <w:b/>
          <w:bCs/>
          <w:sz w:val="22"/>
          <w:szCs w:val="22"/>
        </w:rPr>
      </w:pPr>
    </w:p>
    <w:p w14:paraId="24EFDC09" w14:textId="77777777" w:rsidR="00D81755" w:rsidRDefault="00D81755">
      <w:pPr>
        <w:jc w:val="center"/>
        <w:rPr>
          <w:b/>
          <w:bCs/>
          <w:sz w:val="22"/>
          <w:szCs w:val="22"/>
        </w:rPr>
      </w:pPr>
    </w:p>
    <w:p w14:paraId="24EFDC0A" w14:textId="77777777" w:rsidR="00D81755" w:rsidRDefault="00D81755">
      <w:pPr>
        <w:jc w:val="center"/>
        <w:rPr>
          <w:b/>
          <w:bCs/>
          <w:sz w:val="22"/>
          <w:szCs w:val="22"/>
        </w:rPr>
      </w:pPr>
    </w:p>
    <w:p w14:paraId="24EFDC0B" w14:textId="77777777" w:rsidR="00D81755" w:rsidRDefault="00D81755">
      <w:pPr>
        <w:jc w:val="center"/>
        <w:rPr>
          <w:b/>
          <w:bCs/>
          <w:sz w:val="22"/>
          <w:szCs w:val="22"/>
        </w:rPr>
      </w:pPr>
    </w:p>
    <w:p w14:paraId="24EFDC0C" w14:textId="77777777" w:rsidR="00D81755" w:rsidRDefault="00D81755">
      <w:pPr>
        <w:jc w:val="center"/>
        <w:rPr>
          <w:b/>
          <w:bCs/>
          <w:sz w:val="22"/>
          <w:szCs w:val="22"/>
        </w:rPr>
      </w:pPr>
    </w:p>
    <w:p w14:paraId="24EFDC0D" w14:textId="77777777" w:rsidR="00D81755" w:rsidRDefault="0073296A">
      <w:pPr>
        <w:jc w:val="center"/>
        <w:rPr>
          <w:b/>
          <w:bCs/>
          <w:sz w:val="22"/>
          <w:szCs w:val="22"/>
        </w:rPr>
      </w:pPr>
      <w:r>
        <w:rPr>
          <w:b/>
          <w:bCs/>
          <w:sz w:val="22"/>
          <w:szCs w:val="22"/>
        </w:rPr>
        <w:t>PROGRAM CONTACT INFORMATION</w:t>
      </w:r>
    </w:p>
    <w:p w14:paraId="24EFDC0E" w14:textId="77777777" w:rsidR="00D81755" w:rsidRDefault="00D81755">
      <w:pPr>
        <w:jc w:val="center"/>
        <w:rPr>
          <w:sz w:val="22"/>
          <w:szCs w:val="22"/>
        </w:rPr>
      </w:pPr>
    </w:p>
    <w:p w14:paraId="24EFDC0F" w14:textId="77777777" w:rsidR="00D81755" w:rsidRDefault="00D81755">
      <w:pPr>
        <w:jc w:val="center"/>
        <w:rPr>
          <w:sz w:val="22"/>
          <w:szCs w:val="22"/>
        </w:rPr>
      </w:pPr>
    </w:p>
    <w:p w14:paraId="24EFDC10" w14:textId="77777777" w:rsidR="00D81755" w:rsidRDefault="00D81755">
      <w:pPr>
        <w:jc w:val="center"/>
        <w:rPr>
          <w:sz w:val="22"/>
          <w:szCs w:val="22"/>
        </w:rPr>
      </w:pPr>
    </w:p>
    <w:p w14:paraId="24EFDC11" w14:textId="77777777" w:rsidR="00D81755" w:rsidRDefault="0073296A">
      <w:pPr>
        <w:jc w:val="center"/>
        <w:rPr>
          <w:sz w:val="22"/>
          <w:szCs w:val="22"/>
        </w:rPr>
      </w:pPr>
      <w:r>
        <w:rPr>
          <w:sz w:val="22"/>
          <w:szCs w:val="22"/>
        </w:rPr>
        <w:t>Lisa Benz Scott, PhD, Executive Director, Program in Public Health</w:t>
      </w:r>
    </w:p>
    <w:p w14:paraId="24EFDC12" w14:textId="77777777" w:rsidR="00D81755" w:rsidRDefault="0073296A">
      <w:pPr>
        <w:jc w:val="center"/>
        <w:rPr>
          <w:sz w:val="22"/>
          <w:szCs w:val="22"/>
        </w:rPr>
      </w:pPr>
      <w:hyperlink r:id="rId10">
        <w:r>
          <w:rPr>
            <w:color w:val="0000FF"/>
            <w:sz w:val="22"/>
            <w:szCs w:val="22"/>
            <w:u w:val="single"/>
          </w:rPr>
          <w:t>lisa.benzscott@stonybrook.edu</w:t>
        </w:r>
      </w:hyperlink>
      <w:r>
        <w:rPr>
          <w:sz w:val="22"/>
          <w:szCs w:val="22"/>
        </w:rPr>
        <w:t>, (631) 828-9522</w:t>
      </w:r>
    </w:p>
    <w:p w14:paraId="24EFDC13" w14:textId="77777777" w:rsidR="00D81755" w:rsidRDefault="00D81755">
      <w:pPr>
        <w:jc w:val="center"/>
        <w:rPr>
          <w:sz w:val="22"/>
          <w:szCs w:val="22"/>
        </w:rPr>
      </w:pPr>
    </w:p>
    <w:p w14:paraId="24EFDC14" w14:textId="77777777" w:rsidR="00D81755" w:rsidRDefault="0073296A">
      <w:pPr>
        <w:jc w:val="center"/>
        <w:rPr>
          <w:sz w:val="22"/>
          <w:szCs w:val="22"/>
        </w:rPr>
      </w:pPr>
      <w:r>
        <w:rPr>
          <w:sz w:val="22"/>
          <w:szCs w:val="22"/>
        </w:rPr>
        <w:t>Dylan M. Smith, PhD, Director of MPH Program</w:t>
      </w:r>
    </w:p>
    <w:p w14:paraId="24EFDC15" w14:textId="77777777" w:rsidR="00D81755" w:rsidRDefault="0073296A">
      <w:pPr>
        <w:jc w:val="center"/>
        <w:rPr>
          <w:sz w:val="22"/>
          <w:szCs w:val="22"/>
        </w:rPr>
      </w:pPr>
      <w:hyperlink r:id="rId11">
        <w:r>
          <w:rPr>
            <w:color w:val="0000FF"/>
            <w:sz w:val="22"/>
            <w:szCs w:val="22"/>
            <w:u w:val="single"/>
          </w:rPr>
          <w:t>dylan.m.smith@stonybrook.edu</w:t>
        </w:r>
      </w:hyperlink>
      <w:r>
        <w:rPr>
          <w:sz w:val="22"/>
          <w:szCs w:val="22"/>
        </w:rPr>
        <w:t>, (631) 638-2021</w:t>
      </w:r>
    </w:p>
    <w:p w14:paraId="24EFDC16" w14:textId="77777777" w:rsidR="00D81755" w:rsidRDefault="00D81755">
      <w:pPr>
        <w:jc w:val="center"/>
        <w:rPr>
          <w:sz w:val="22"/>
          <w:szCs w:val="22"/>
        </w:rPr>
      </w:pPr>
    </w:p>
    <w:p w14:paraId="24EFDC17" w14:textId="77777777" w:rsidR="00D81755" w:rsidRDefault="0073296A">
      <w:pPr>
        <w:jc w:val="center"/>
        <w:rPr>
          <w:sz w:val="22"/>
          <w:szCs w:val="22"/>
        </w:rPr>
      </w:pPr>
      <w:r>
        <w:rPr>
          <w:sz w:val="22"/>
          <w:szCs w:val="22"/>
        </w:rPr>
        <w:t xml:space="preserve"> Lesley Tomaszewski, PhD, Director of MHA Program</w:t>
      </w:r>
    </w:p>
    <w:p w14:paraId="24EFDC18" w14:textId="77777777" w:rsidR="00D81755" w:rsidRDefault="0073296A">
      <w:pPr>
        <w:jc w:val="center"/>
        <w:rPr>
          <w:sz w:val="22"/>
          <w:szCs w:val="22"/>
        </w:rPr>
      </w:pPr>
      <w:hyperlink r:id="rId12">
        <w:r>
          <w:rPr>
            <w:color w:val="0000FF"/>
            <w:sz w:val="22"/>
            <w:szCs w:val="22"/>
            <w:u w:val="single"/>
          </w:rPr>
          <w:t>lesley.tomaszewski@stonybrookmedicine.edu</w:t>
        </w:r>
      </w:hyperlink>
      <w:r>
        <w:rPr>
          <w:sz w:val="22"/>
          <w:szCs w:val="22"/>
        </w:rPr>
        <w:t>, (631) 216-9233</w:t>
      </w:r>
    </w:p>
    <w:p w14:paraId="24EFDC19" w14:textId="77777777" w:rsidR="00D81755" w:rsidRDefault="00D81755">
      <w:pPr>
        <w:jc w:val="center"/>
        <w:rPr>
          <w:sz w:val="22"/>
          <w:szCs w:val="22"/>
        </w:rPr>
      </w:pPr>
    </w:p>
    <w:p w14:paraId="24EFDC1A" w14:textId="77777777" w:rsidR="00D81755" w:rsidRDefault="0073296A">
      <w:pPr>
        <w:jc w:val="center"/>
        <w:rPr>
          <w:sz w:val="22"/>
          <w:szCs w:val="22"/>
        </w:rPr>
      </w:pPr>
      <w:r>
        <w:rPr>
          <w:sz w:val="22"/>
          <w:szCs w:val="22"/>
        </w:rPr>
        <w:t>Rachel Kidman, PhD, Director of Doctoral Studies</w:t>
      </w:r>
    </w:p>
    <w:p w14:paraId="24EFDC1B" w14:textId="77777777" w:rsidR="00D81755" w:rsidRDefault="0073296A">
      <w:pPr>
        <w:jc w:val="center"/>
        <w:rPr>
          <w:sz w:val="22"/>
          <w:szCs w:val="22"/>
        </w:rPr>
      </w:pPr>
      <w:hyperlink r:id="rId13">
        <w:r>
          <w:rPr>
            <w:color w:val="1155CC"/>
            <w:sz w:val="22"/>
            <w:szCs w:val="22"/>
            <w:u w:val="single"/>
          </w:rPr>
          <w:t>rachel.kidman@stonybrookmedicine.edu</w:t>
        </w:r>
      </w:hyperlink>
      <w:r>
        <w:rPr>
          <w:sz w:val="22"/>
          <w:szCs w:val="22"/>
        </w:rPr>
        <w:t>, (631) 444-2645</w:t>
      </w:r>
    </w:p>
    <w:p w14:paraId="24EFDC1C" w14:textId="77777777" w:rsidR="00D81755" w:rsidRDefault="00D81755">
      <w:pPr>
        <w:spacing w:line="256" w:lineRule="auto"/>
        <w:rPr>
          <w:sz w:val="22"/>
          <w:szCs w:val="22"/>
        </w:rPr>
      </w:pPr>
    </w:p>
    <w:p w14:paraId="24EFDC1D" w14:textId="77777777" w:rsidR="00D81755" w:rsidRDefault="0073296A">
      <w:pPr>
        <w:spacing w:line="256" w:lineRule="auto"/>
        <w:jc w:val="center"/>
        <w:rPr>
          <w:sz w:val="22"/>
          <w:szCs w:val="22"/>
        </w:rPr>
      </w:pPr>
      <w:r>
        <w:rPr>
          <w:color w:val="000000"/>
          <w:sz w:val="22"/>
          <w:szCs w:val="22"/>
        </w:rPr>
        <w:t>Olga C. Aroniadis, MD, MSc, Director, MS in Epidemiology &amp; Clinical Research Program</w:t>
      </w:r>
    </w:p>
    <w:p w14:paraId="24EFDC1E" w14:textId="77777777" w:rsidR="00D81755" w:rsidRDefault="0073296A">
      <w:pPr>
        <w:jc w:val="center"/>
        <w:rPr>
          <w:color w:val="000000"/>
          <w:sz w:val="22"/>
          <w:szCs w:val="22"/>
        </w:rPr>
      </w:pPr>
      <w:hyperlink r:id="rId14">
        <w:r>
          <w:rPr>
            <w:color w:val="0000FF"/>
            <w:sz w:val="22"/>
            <w:szCs w:val="22"/>
            <w:u w:val="single"/>
          </w:rPr>
          <w:t>olga.aroniadis@stonybrookmedicine.edu</w:t>
        </w:r>
      </w:hyperlink>
      <w:r>
        <w:rPr>
          <w:color w:val="000000"/>
          <w:sz w:val="22"/>
          <w:szCs w:val="22"/>
        </w:rPr>
        <w:t>, 631-444-3518</w:t>
      </w:r>
    </w:p>
    <w:p w14:paraId="24EFDC1F" w14:textId="77777777" w:rsidR="00D81755" w:rsidRDefault="00D81755">
      <w:pPr>
        <w:jc w:val="center"/>
        <w:rPr>
          <w:color w:val="000000"/>
          <w:sz w:val="22"/>
          <w:szCs w:val="22"/>
        </w:rPr>
      </w:pPr>
    </w:p>
    <w:p w14:paraId="24EFDC20" w14:textId="77777777" w:rsidR="00D81755" w:rsidRDefault="0073296A">
      <w:pPr>
        <w:jc w:val="center"/>
        <w:rPr>
          <w:color w:val="000000"/>
          <w:sz w:val="22"/>
          <w:szCs w:val="22"/>
        </w:rPr>
      </w:pPr>
      <w:r>
        <w:rPr>
          <w:color w:val="000000"/>
          <w:sz w:val="22"/>
          <w:szCs w:val="22"/>
        </w:rPr>
        <w:t>Alina Denham, PhD, Director Advanced Graduate Certificate for Aging Populations and Healthcare Administration</w:t>
      </w:r>
    </w:p>
    <w:p w14:paraId="24EFDC21" w14:textId="77777777" w:rsidR="00D81755" w:rsidRDefault="0073296A">
      <w:pPr>
        <w:jc w:val="center"/>
        <w:rPr>
          <w:color w:val="000000"/>
          <w:sz w:val="22"/>
          <w:szCs w:val="22"/>
        </w:rPr>
      </w:pPr>
      <w:hyperlink r:id="rId15">
        <w:r>
          <w:rPr>
            <w:color w:val="0000FF"/>
            <w:sz w:val="22"/>
            <w:szCs w:val="22"/>
            <w:u w:val="single"/>
          </w:rPr>
          <w:t>Alina.denham@stonybrookmedicine.edy</w:t>
        </w:r>
      </w:hyperlink>
      <w:r>
        <w:rPr>
          <w:color w:val="000000"/>
          <w:sz w:val="22"/>
          <w:szCs w:val="22"/>
        </w:rPr>
        <w:t>, (631) 216-8653</w:t>
      </w:r>
    </w:p>
    <w:p w14:paraId="24EFDC22" w14:textId="77777777" w:rsidR="00D81755" w:rsidRDefault="00D81755">
      <w:pPr>
        <w:jc w:val="center"/>
        <w:rPr>
          <w:color w:val="000000"/>
          <w:sz w:val="22"/>
          <w:szCs w:val="22"/>
        </w:rPr>
      </w:pPr>
    </w:p>
    <w:p w14:paraId="24EFDC23" w14:textId="77777777" w:rsidR="00D81755" w:rsidRDefault="00D81755">
      <w:pPr>
        <w:jc w:val="center"/>
        <w:rPr>
          <w:color w:val="000000"/>
          <w:sz w:val="22"/>
          <w:szCs w:val="22"/>
        </w:rPr>
      </w:pPr>
    </w:p>
    <w:p w14:paraId="24EFDC24" w14:textId="77777777" w:rsidR="00D81755" w:rsidRDefault="0073296A">
      <w:pPr>
        <w:keepNext/>
        <w:keepLines/>
        <w:pBdr>
          <w:top w:val="nil"/>
          <w:left w:val="nil"/>
          <w:bottom w:val="nil"/>
          <w:right w:val="nil"/>
          <w:between w:val="nil"/>
        </w:pBdr>
        <w:spacing w:before="480" w:line="276" w:lineRule="auto"/>
        <w:rPr>
          <w:rFonts w:ascii="Cambria" w:eastAsia="Cambria" w:hAnsi="Cambria" w:cs="Cambria"/>
          <w:b/>
          <w:bCs/>
          <w:color w:val="365F91"/>
          <w:sz w:val="28"/>
          <w:szCs w:val="28"/>
        </w:rPr>
      </w:pPr>
      <w:r>
        <w:br w:type="page"/>
      </w:r>
    </w:p>
    <w:p w14:paraId="24EFDC25" w14:textId="77777777" w:rsidR="00D81755" w:rsidRDefault="0073296A">
      <w:pPr>
        <w:keepNext/>
        <w:keepLines/>
        <w:pBdr>
          <w:top w:val="nil"/>
          <w:left w:val="nil"/>
          <w:bottom w:val="nil"/>
          <w:right w:val="nil"/>
          <w:between w:val="nil"/>
        </w:pBdr>
        <w:spacing w:before="480" w:line="276" w:lineRule="auto"/>
        <w:rPr>
          <w:rFonts w:ascii="Cambria" w:eastAsia="Cambria" w:hAnsi="Cambria" w:cs="Cambria"/>
          <w:b/>
          <w:bCs/>
          <w:color w:val="365F91"/>
          <w:sz w:val="28"/>
          <w:szCs w:val="28"/>
        </w:rPr>
      </w:pPr>
      <w:r>
        <w:rPr>
          <w:rFonts w:ascii="Cambria" w:eastAsia="Cambria" w:hAnsi="Cambria" w:cs="Cambria"/>
          <w:b/>
          <w:bCs/>
          <w:color w:val="365F91"/>
          <w:sz w:val="28"/>
          <w:szCs w:val="28"/>
        </w:rPr>
        <w:lastRenderedPageBreak/>
        <w:t>Table of Contents</w:t>
      </w:r>
    </w:p>
    <w:sdt>
      <w:sdtPr>
        <w:id w:val="1200692637"/>
        <w:docPartObj>
          <w:docPartGallery w:val="Table of Contents"/>
          <w:docPartUnique/>
        </w:docPartObj>
      </w:sdtPr>
      <w:sdtEndPr/>
      <w:sdtContent>
        <w:p w14:paraId="24EFDC26" w14:textId="7E9894FF" w:rsidR="00D81755" w:rsidRDefault="0073296A">
          <w:pPr>
            <w:pBdr>
              <w:top w:val="nil"/>
              <w:left w:val="nil"/>
              <w:bottom w:val="nil"/>
              <w:right w:val="nil"/>
              <w:between w:val="nil"/>
            </w:pBdr>
            <w:tabs>
              <w:tab w:val="right" w:pos="10790"/>
            </w:tabs>
            <w:spacing w:before="120" w:after="120"/>
            <w:rPr>
              <w:rFonts w:ascii="Calibri" w:eastAsia="Calibri" w:hAnsi="Calibri" w:cs="Calibri"/>
              <w:color w:val="000000"/>
            </w:rPr>
          </w:pPr>
          <w:r>
            <w:fldChar w:fldCharType="begin"/>
          </w:r>
          <w:r>
            <w:instrText xml:space="preserve"> TOC \h \u \z \t "Heading 1,1,Heading 2,2,Heading 3,3,"</w:instrText>
          </w:r>
          <w:r>
            <w:fldChar w:fldCharType="separate"/>
          </w:r>
          <w:hyperlink w:anchor="_heading=h.v9ylh795voia">
            <w:r>
              <w:rPr>
                <w:rFonts w:ascii="Calibri" w:eastAsia="Calibri" w:hAnsi="Calibri" w:cs="Calibri"/>
                <w:b/>
                <w:bCs/>
                <w:smallCaps/>
                <w:color w:val="000000"/>
                <w:sz w:val="20"/>
                <w:szCs w:val="20"/>
              </w:rPr>
              <w:t>PROGRAM IN PUBLIC HEALTH</w:t>
            </w:r>
            <w:r>
              <w:rPr>
                <w:rFonts w:ascii="Calibri" w:eastAsia="Calibri" w:hAnsi="Calibri" w:cs="Calibri"/>
                <w:b/>
                <w:bCs/>
                <w:smallCaps/>
                <w:color w:val="000000"/>
                <w:sz w:val="20"/>
                <w:szCs w:val="20"/>
              </w:rPr>
              <w:tab/>
            </w:r>
            <w:r w:rsidR="005721FF">
              <w:rPr>
                <w:rFonts w:ascii="Calibri" w:eastAsia="Calibri" w:hAnsi="Calibri" w:cs="Calibri"/>
                <w:b/>
                <w:bCs/>
                <w:smallCaps/>
                <w:color w:val="000000"/>
                <w:sz w:val="20"/>
                <w:szCs w:val="20"/>
              </w:rPr>
              <w:t>5</w:t>
            </w:r>
          </w:hyperlink>
        </w:p>
        <w:p w14:paraId="24EFDC27" w14:textId="559C677E" w:rsidR="00D81755" w:rsidRDefault="0073296A">
          <w:pPr>
            <w:pBdr>
              <w:top w:val="nil"/>
              <w:left w:val="nil"/>
              <w:bottom w:val="nil"/>
              <w:right w:val="nil"/>
              <w:between w:val="nil"/>
            </w:pBdr>
            <w:tabs>
              <w:tab w:val="right" w:pos="10790"/>
            </w:tabs>
            <w:spacing w:before="120" w:after="120"/>
            <w:rPr>
              <w:rFonts w:ascii="Calibri" w:eastAsia="Calibri" w:hAnsi="Calibri" w:cs="Calibri"/>
              <w:color w:val="000000"/>
            </w:rPr>
          </w:pPr>
          <w:hyperlink w:anchor="_heading=h.4uof7hw7ewi1">
            <w:r>
              <w:rPr>
                <w:rFonts w:ascii="Calibri" w:eastAsia="Calibri" w:hAnsi="Calibri" w:cs="Calibri"/>
                <w:b/>
                <w:bCs/>
                <w:smallCaps/>
                <w:color w:val="000000"/>
                <w:sz w:val="20"/>
                <w:szCs w:val="20"/>
              </w:rPr>
              <w:t>PUBLIC HEALTH FACULTY &amp; STAFF</w:t>
            </w:r>
            <w:r>
              <w:rPr>
                <w:rFonts w:ascii="Calibri" w:eastAsia="Calibri" w:hAnsi="Calibri" w:cs="Calibri"/>
                <w:b/>
                <w:bCs/>
                <w:smallCaps/>
                <w:color w:val="000000"/>
                <w:sz w:val="20"/>
                <w:szCs w:val="20"/>
              </w:rPr>
              <w:tab/>
            </w:r>
            <w:r w:rsidR="008C436E">
              <w:rPr>
                <w:rFonts w:ascii="Calibri" w:eastAsia="Calibri" w:hAnsi="Calibri" w:cs="Calibri"/>
                <w:b/>
                <w:bCs/>
                <w:smallCaps/>
                <w:color w:val="000000"/>
                <w:sz w:val="20"/>
                <w:szCs w:val="20"/>
              </w:rPr>
              <w:t>7</w:t>
            </w:r>
          </w:hyperlink>
        </w:p>
        <w:p w14:paraId="24EFDC28" w14:textId="4E8CD65A"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3znysh7">
            <w:r>
              <w:rPr>
                <w:rFonts w:ascii="Calibri" w:eastAsia="Calibri" w:hAnsi="Calibri" w:cs="Calibri"/>
                <w:smallCaps/>
                <w:color w:val="000000"/>
                <w:sz w:val="20"/>
                <w:szCs w:val="20"/>
              </w:rPr>
              <w:t>PROGRAM IN PUBLIC HEALTH LEADERSHIP</w:t>
            </w:r>
            <w:r>
              <w:rPr>
                <w:rFonts w:ascii="Calibri" w:eastAsia="Calibri" w:hAnsi="Calibri" w:cs="Calibri"/>
                <w:smallCaps/>
                <w:color w:val="000000"/>
                <w:sz w:val="20"/>
                <w:szCs w:val="20"/>
              </w:rPr>
              <w:tab/>
            </w:r>
            <w:r w:rsidR="008C436E">
              <w:rPr>
                <w:rFonts w:ascii="Calibri" w:eastAsia="Calibri" w:hAnsi="Calibri" w:cs="Calibri"/>
                <w:smallCaps/>
                <w:color w:val="000000"/>
                <w:sz w:val="20"/>
                <w:szCs w:val="20"/>
              </w:rPr>
              <w:t>7</w:t>
            </w:r>
          </w:hyperlink>
        </w:p>
        <w:p w14:paraId="24EFDC29" w14:textId="2F3C0418"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x92qk5hdne25">
            <w:r>
              <w:rPr>
                <w:rFonts w:ascii="Calibri" w:eastAsia="Calibri" w:hAnsi="Calibri" w:cs="Calibri"/>
                <w:smallCaps/>
                <w:color w:val="000000"/>
                <w:sz w:val="20"/>
                <w:szCs w:val="20"/>
              </w:rPr>
              <w:t>PROGRAM IN PUBLIC HEALTH ADMINISTRATIVE STAFF</w:t>
            </w:r>
            <w:r>
              <w:rPr>
                <w:rFonts w:ascii="Calibri" w:eastAsia="Calibri" w:hAnsi="Calibri" w:cs="Calibri"/>
                <w:smallCaps/>
                <w:color w:val="000000"/>
                <w:sz w:val="20"/>
                <w:szCs w:val="20"/>
              </w:rPr>
              <w:tab/>
            </w:r>
            <w:r w:rsidR="008C436E">
              <w:rPr>
                <w:rFonts w:ascii="Calibri" w:eastAsia="Calibri" w:hAnsi="Calibri" w:cs="Calibri"/>
                <w:smallCaps/>
                <w:color w:val="000000"/>
                <w:sz w:val="20"/>
                <w:szCs w:val="20"/>
              </w:rPr>
              <w:t>7</w:t>
            </w:r>
          </w:hyperlink>
        </w:p>
        <w:p w14:paraId="24EFDC2A" w14:textId="41B91205"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m5rqrziyuv02">
            <w:r>
              <w:rPr>
                <w:rFonts w:ascii="Calibri" w:eastAsia="Calibri" w:hAnsi="Calibri" w:cs="Calibri"/>
                <w:smallCaps/>
                <w:color w:val="000000"/>
                <w:sz w:val="20"/>
                <w:szCs w:val="20"/>
              </w:rPr>
              <w:t>PROGRAM IN PUBLIC HEALTH CORE FACULTY</w:t>
            </w:r>
            <w:r>
              <w:rPr>
                <w:rFonts w:ascii="Calibri" w:eastAsia="Calibri" w:hAnsi="Calibri" w:cs="Calibri"/>
                <w:smallCaps/>
                <w:color w:val="000000"/>
                <w:sz w:val="20"/>
                <w:szCs w:val="20"/>
              </w:rPr>
              <w:tab/>
            </w:r>
            <w:r w:rsidR="008C436E">
              <w:rPr>
                <w:rFonts w:ascii="Calibri" w:eastAsia="Calibri" w:hAnsi="Calibri" w:cs="Calibri"/>
                <w:smallCaps/>
                <w:color w:val="000000"/>
                <w:sz w:val="20"/>
                <w:szCs w:val="20"/>
              </w:rPr>
              <w:t>8</w:t>
            </w:r>
          </w:hyperlink>
        </w:p>
        <w:p w14:paraId="24EFDC2B" w14:textId="0461E33D"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8zejml4cwjad">
            <w:r>
              <w:rPr>
                <w:rFonts w:ascii="Calibri" w:eastAsia="Calibri" w:hAnsi="Calibri" w:cs="Calibri"/>
                <w:smallCaps/>
                <w:color w:val="000000"/>
                <w:sz w:val="20"/>
                <w:szCs w:val="20"/>
              </w:rPr>
              <w:t>MPH CONCENTRATION HEADS</w:t>
            </w:r>
            <w:r>
              <w:rPr>
                <w:rFonts w:ascii="Calibri" w:eastAsia="Calibri" w:hAnsi="Calibri" w:cs="Calibri"/>
                <w:smallCaps/>
                <w:color w:val="000000"/>
                <w:sz w:val="20"/>
                <w:szCs w:val="20"/>
              </w:rPr>
              <w:tab/>
            </w:r>
            <w:r w:rsidR="008C436E">
              <w:rPr>
                <w:rFonts w:ascii="Calibri" w:eastAsia="Calibri" w:hAnsi="Calibri" w:cs="Calibri"/>
                <w:smallCaps/>
                <w:color w:val="000000"/>
                <w:sz w:val="20"/>
                <w:szCs w:val="20"/>
              </w:rPr>
              <w:t>9</w:t>
            </w:r>
          </w:hyperlink>
        </w:p>
        <w:p w14:paraId="24EFDC2C" w14:textId="1BFAE8F1"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fmw93btmkq3b">
            <w:r>
              <w:rPr>
                <w:rFonts w:ascii="Calibri" w:eastAsia="Calibri" w:hAnsi="Calibri" w:cs="Calibri"/>
                <w:smallCaps/>
                <w:color w:val="000000"/>
                <w:sz w:val="20"/>
                <w:szCs w:val="20"/>
              </w:rPr>
              <w:t>INSTRUCTIONAL FACULTY (202</w:t>
            </w:r>
            <w:r w:rsidR="00E563CC">
              <w:rPr>
                <w:rFonts w:ascii="Calibri" w:eastAsia="Calibri" w:hAnsi="Calibri" w:cs="Calibri"/>
                <w:smallCaps/>
                <w:color w:val="000000"/>
                <w:sz w:val="20"/>
                <w:szCs w:val="20"/>
              </w:rPr>
              <w:t>6</w:t>
            </w:r>
            <w:r>
              <w:rPr>
                <w:rFonts w:ascii="Calibri" w:eastAsia="Calibri" w:hAnsi="Calibri" w:cs="Calibri"/>
                <w:smallCaps/>
                <w:color w:val="000000"/>
                <w:sz w:val="20"/>
                <w:szCs w:val="20"/>
              </w:rPr>
              <w:t>-202</w:t>
            </w:r>
            <w:r w:rsidR="00E563CC">
              <w:rPr>
                <w:rFonts w:ascii="Calibri" w:eastAsia="Calibri" w:hAnsi="Calibri" w:cs="Calibri"/>
                <w:smallCaps/>
                <w:color w:val="000000"/>
                <w:sz w:val="20"/>
                <w:szCs w:val="20"/>
              </w:rPr>
              <w:t>7</w:t>
            </w:r>
            <w:r>
              <w:rPr>
                <w:rFonts w:ascii="Calibri" w:eastAsia="Calibri" w:hAnsi="Calibri" w:cs="Calibri"/>
                <w:smallCaps/>
                <w:color w:val="000000"/>
                <w:sz w:val="20"/>
                <w:szCs w:val="20"/>
              </w:rPr>
              <w:t>)</w:t>
            </w:r>
            <w:r>
              <w:rPr>
                <w:rFonts w:ascii="Calibri" w:eastAsia="Calibri" w:hAnsi="Calibri" w:cs="Calibri"/>
                <w:smallCaps/>
                <w:color w:val="000000"/>
                <w:sz w:val="20"/>
                <w:szCs w:val="20"/>
              </w:rPr>
              <w:tab/>
            </w:r>
            <w:r w:rsidR="008C436E">
              <w:rPr>
                <w:rFonts w:ascii="Calibri" w:eastAsia="Calibri" w:hAnsi="Calibri" w:cs="Calibri"/>
                <w:smallCaps/>
                <w:color w:val="000000"/>
                <w:sz w:val="20"/>
                <w:szCs w:val="20"/>
              </w:rPr>
              <w:t>9</w:t>
            </w:r>
          </w:hyperlink>
        </w:p>
        <w:p w14:paraId="4125EC9A" w14:textId="77777777" w:rsidR="00E563CC" w:rsidRDefault="00E563CC" w:rsidP="00E563CC">
          <w:pPr>
            <w:pBdr>
              <w:top w:val="nil"/>
              <w:left w:val="nil"/>
              <w:bottom w:val="nil"/>
              <w:right w:val="nil"/>
              <w:between w:val="nil"/>
            </w:pBdr>
            <w:tabs>
              <w:tab w:val="right" w:pos="10790"/>
            </w:tabs>
            <w:ind w:left="240"/>
          </w:pPr>
          <w:hyperlink w:anchor="_heading=h.n8p5vyp61edy">
            <w:r>
              <w:rPr>
                <w:rFonts w:ascii="Calibri" w:eastAsia="Calibri" w:hAnsi="Calibri" w:cs="Calibri"/>
                <w:smallCaps/>
                <w:color w:val="000000"/>
                <w:sz w:val="20"/>
                <w:szCs w:val="20"/>
              </w:rPr>
              <w:t>PPH AFFILIATES</w:t>
            </w:r>
            <w:r>
              <w:rPr>
                <w:rFonts w:ascii="Calibri" w:eastAsia="Calibri" w:hAnsi="Calibri" w:cs="Calibri"/>
                <w:smallCaps/>
                <w:color w:val="000000"/>
                <w:sz w:val="20"/>
                <w:szCs w:val="20"/>
              </w:rPr>
              <w:tab/>
              <w:t>10</w:t>
            </w:r>
          </w:hyperlink>
        </w:p>
        <w:p w14:paraId="66F29AA6" w14:textId="1979D83D" w:rsidR="00E563CC" w:rsidRDefault="00E563CC" w:rsidP="00E563CC">
          <w:pPr>
            <w:pBdr>
              <w:top w:val="nil"/>
              <w:left w:val="nil"/>
              <w:bottom w:val="nil"/>
              <w:right w:val="nil"/>
              <w:between w:val="nil"/>
            </w:pBdr>
            <w:tabs>
              <w:tab w:val="right" w:pos="10790"/>
            </w:tabs>
            <w:ind w:left="240"/>
          </w:pPr>
          <w:hyperlink w:anchor="_heading=h.n8p5vyp61edy">
            <w:r>
              <w:rPr>
                <w:rFonts w:ascii="Calibri" w:eastAsia="Calibri" w:hAnsi="Calibri" w:cs="Calibri"/>
                <w:smallCaps/>
                <w:color w:val="000000"/>
                <w:sz w:val="20"/>
                <w:szCs w:val="20"/>
              </w:rPr>
              <w:t>ABOUT THE PROGRAM</w:t>
            </w:r>
            <w:r>
              <w:rPr>
                <w:rFonts w:ascii="Calibri" w:eastAsia="Calibri" w:hAnsi="Calibri" w:cs="Calibri"/>
                <w:smallCaps/>
                <w:color w:val="000000"/>
                <w:sz w:val="20"/>
                <w:szCs w:val="20"/>
              </w:rPr>
              <w:tab/>
              <w:t>13</w:t>
            </w:r>
          </w:hyperlink>
        </w:p>
        <w:p w14:paraId="0A0C1CB7" w14:textId="1252BE35" w:rsidR="00E563CC" w:rsidRDefault="00E563CC">
          <w:pPr>
            <w:pBdr>
              <w:top w:val="nil"/>
              <w:left w:val="nil"/>
              <w:bottom w:val="nil"/>
              <w:right w:val="nil"/>
              <w:between w:val="nil"/>
            </w:pBdr>
            <w:tabs>
              <w:tab w:val="right" w:pos="10790"/>
            </w:tabs>
            <w:ind w:left="240"/>
            <w:rPr>
              <w:rFonts w:ascii="Calibri" w:eastAsia="Calibri" w:hAnsi="Calibri" w:cs="Calibri"/>
              <w:color w:val="000000"/>
            </w:rPr>
          </w:pPr>
        </w:p>
        <w:p w14:paraId="24EFDC2E" w14:textId="4DB66B29" w:rsidR="00D81755" w:rsidRDefault="0073296A">
          <w:pPr>
            <w:pBdr>
              <w:top w:val="nil"/>
              <w:left w:val="nil"/>
              <w:bottom w:val="nil"/>
              <w:right w:val="nil"/>
              <w:between w:val="nil"/>
            </w:pBdr>
            <w:tabs>
              <w:tab w:val="right" w:pos="10790"/>
            </w:tabs>
            <w:spacing w:before="120" w:after="120"/>
            <w:rPr>
              <w:rFonts w:ascii="Calibri" w:eastAsia="Calibri" w:hAnsi="Calibri" w:cs="Calibri"/>
              <w:color w:val="000000"/>
            </w:rPr>
          </w:pPr>
          <w:hyperlink w:anchor="_heading=h.9vtev2wyfc6w">
            <w:r>
              <w:rPr>
                <w:rFonts w:ascii="Calibri" w:eastAsia="Calibri" w:hAnsi="Calibri" w:cs="Calibri"/>
                <w:b/>
                <w:bCs/>
                <w:smallCaps/>
                <w:color w:val="000000"/>
                <w:sz w:val="20"/>
                <w:szCs w:val="20"/>
              </w:rPr>
              <w:t>MPH DEGREE PROGRAM</w:t>
            </w:r>
            <w:r>
              <w:rPr>
                <w:rFonts w:ascii="Calibri" w:eastAsia="Calibri" w:hAnsi="Calibri" w:cs="Calibri"/>
                <w:b/>
                <w:bCs/>
                <w:smallCaps/>
                <w:color w:val="000000"/>
                <w:sz w:val="20"/>
                <w:szCs w:val="20"/>
              </w:rPr>
              <w:tab/>
              <w:t>1</w:t>
            </w:r>
            <w:r w:rsidR="00E563CC">
              <w:rPr>
                <w:rFonts w:ascii="Calibri" w:eastAsia="Calibri" w:hAnsi="Calibri" w:cs="Calibri"/>
                <w:b/>
                <w:bCs/>
                <w:smallCaps/>
                <w:color w:val="000000"/>
                <w:sz w:val="20"/>
                <w:szCs w:val="20"/>
              </w:rPr>
              <w:t>3</w:t>
            </w:r>
          </w:hyperlink>
        </w:p>
        <w:p w14:paraId="24EFDC2F" w14:textId="77777777"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g0qiyyu7eqgc">
            <w:r>
              <w:rPr>
                <w:rFonts w:ascii="Calibri" w:eastAsia="Calibri" w:hAnsi="Calibri" w:cs="Calibri"/>
                <w:smallCaps/>
                <w:color w:val="000000"/>
                <w:sz w:val="20"/>
                <w:szCs w:val="20"/>
              </w:rPr>
              <w:t>MPH MISSION, VISION, VALUES</w:t>
            </w:r>
            <w:r>
              <w:rPr>
                <w:rFonts w:ascii="Calibri" w:eastAsia="Calibri" w:hAnsi="Calibri" w:cs="Calibri"/>
                <w:smallCaps/>
                <w:color w:val="000000"/>
                <w:sz w:val="20"/>
                <w:szCs w:val="20"/>
              </w:rPr>
              <w:tab/>
              <w:t>15</w:t>
            </w:r>
          </w:hyperlink>
        </w:p>
        <w:p w14:paraId="24EFDC30" w14:textId="77777777"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lnxbz9">
            <w:r>
              <w:rPr>
                <w:rFonts w:ascii="Calibri" w:eastAsia="Calibri" w:hAnsi="Calibri" w:cs="Calibri"/>
                <w:smallCaps/>
                <w:color w:val="000000"/>
                <w:sz w:val="20"/>
                <w:szCs w:val="20"/>
              </w:rPr>
              <w:t>MPH ACCREDITATION</w:t>
            </w:r>
            <w:r>
              <w:rPr>
                <w:rFonts w:ascii="Calibri" w:eastAsia="Calibri" w:hAnsi="Calibri" w:cs="Calibri"/>
                <w:smallCaps/>
                <w:color w:val="000000"/>
                <w:sz w:val="20"/>
                <w:szCs w:val="20"/>
              </w:rPr>
              <w:tab/>
              <w:t>16</w:t>
            </w:r>
          </w:hyperlink>
        </w:p>
        <w:p w14:paraId="24EFDC31" w14:textId="77777777"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viam99c210xp">
            <w:r>
              <w:rPr>
                <w:rFonts w:ascii="Calibri" w:eastAsia="Calibri" w:hAnsi="Calibri" w:cs="Calibri"/>
                <w:smallCaps/>
                <w:color w:val="000000"/>
                <w:sz w:val="20"/>
                <w:szCs w:val="20"/>
              </w:rPr>
              <w:t>MPH DEGREE CURRICULUM</w:t>
            </w:r>
            <w:r>
              <w:rPr>
                <w:rFonts w:ascii="Calibri" w:eastAsia="Calibri" w:hAnsi="Calibri" w:cs="Calibri"/>
                <w:smallCaps/>
                <w:color w:val="000000"/>
                <w:sz w:val="20"/>
                <w:szCs w:val="20"/>
              </w:rPr>
              <w:tab/>
              <w:t>16</w:t>
            </w:r>
          </w:hyperlink>
        </w:p>
        <w:p w14:paraId="24EFDC32" w14:textId="77777777"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ikhncwqyx7eo">
            <w:r>
              <w:rPr>
                <w:rFonts w:ascii="Calibri" w:eastAsia="Calibri" w:hAnsi="Calibri" w:cs="Calibri"/>
                <w:smallCaps/>
                <w:color w:val="000000"/>
                <w:sz w:val="20"/>
                <w:szCs w:val="20"/>
              </w:rPr>
              <w:t>MPH COMPETENCY ASSESSMENT</w:t>
            </w:r>
            <w:r>
              <w:rPr>
                <w:rFonts w:ascii="Calibri" w:eastAsia="Calibri" w:hAnsi="Calibri" w:cs="Calibri"/>
                <w:smallCaps/>
                <w:color w:val="000000"/>
                <w:sz w:val="20"/>
                <w:szCs w:val="20"/>
              </w:rPr>
              <w:tab/>
              <w:t>16</w:t>
            </w:r>
          </w:hyperlink>
        </w:p>
        <w:p w14:paraId="24EFDC33" w14:textId="77777777"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uye9ch83n45">
            <w:r>
              <w:rPr>
                <w:rFonts w:ascii="Calibri" w:eastAsia="Calibri" w:hAnsi="Calibri" w:cs="Calibri"/>
                <w:smallCaps/>
                <w:color w:val="000000"/>
                <w:sz w:val="20"/>
                <w:szCs w:val="20"/>
              </w:rPr>
              <w:t>MPH ADVISING POLICY</w:t>
            </w:r>
            <w:r>
              <w:rPr>
                <w:rFonts w:ascii="Calibri" w:eastAsia="Calibri" w:hAnsi="Calibri" w:cs="Calibri"/>
                <w:smallCaps/>
                <w:color w:val="000000"/>
                <w:sz w:val="20"/>
                <w:szCs w:val="20"/>
              </w:rPr>
              <w:tab/>
              <w:t>16</w:t>
            </w:r>
          </w:hyperlink>
        </w:p>
        <w:p w14:paraId="24EFDC34" w14:textId="77777777"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hzf4obbqw0oi">
            <w:r>
              <w:rPr>
                <w:rFonts w:ascii="Calibri" w:eastAsia="Calibri" w:hAnsi="Calibri" w:cs="Calibri"/>
                <w:smallCaps/>
                <w:color w:val="000000"/>
                <w:sz w:val="20"/>
                <w:szCs w:val="20"/>
              </w:rPr>
              <w:t>ADMISSION TO THE MPH DEGREE PROGRAMS</w:t>
            </w:r>
            <w:r>
              <w:rPr>
                <w:rFonts w:ascii="Calibri" w:eastAsia="Calibri" w:hAnsi="Calibri" w:cs="Calibri"/>
                <w:smallCaps/>
                <w:color w:val="000000"/>
                <w:sz w:val="20"/>
                <w:szCs w:val="20"/>
              </w:rPr>
              <w:tab/>
              <w:t>17</w:t>
            </w:r>
          </w:hyperlink>
        </w:p>
        <w:p w14:paraId="24EFDC35" w14:textId="77777777"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262enzepivgu">
            <w:r>
              <w:rPr>
                <w:rFonts w:ascii="Calibri" w:eastAsia="Calibri" w:hAnsi="Calibri" w:cs="Calibri"/>
                <w:smallCaps/>
                <w:color w:val="000000"/>
                <w:sz w:val="20"/>
                <w:szCs w:val="20"/>
              </w:rPr>
              <w:t>ADMITTED STUDENTS</w:t>
            </w:r>
            <w:r>
              <w:rPr>
                <w:rFonts w:ascii="Calibri" w:eastAsia="Calibri" w:hAnsi="Calibri" w:cs="Calibri"/>
                <w:smallCaps/>
                <w:color w:val="000000"/>
                <w:sz w:val="20"/>
                <w:szCs w:val="20"/>
              </w:rPr>
              <w:tab/>
              <w:t>18</w:t>
            </w:r>
          </w:hyperlink>
        </w:p>
        <w:p w14:paraId="24EFDC36" w14:textId="77777777" w:rsidR="00D81755" w:rsidRDefault="0073296A">
          <w:pPr>
            <w:pBdr>
              <w:top w:val="nil"/>
              <w:left w:val="nil"/>
              <w:bottom w:val="nil"/>
              <w:right w:val="nil"/>
              <w:between w:val="nil"/>
            </w:pBdr>
            <w:tabs>
              <w:tab w:val="right" w:pos="10790"/>
            </w:tabs>
            <w:spacing w:before="120" w:after="120"/>
            <w:rPr>
              <w:rFonts w:ascii="Calibri" w:eastAsia="Calibri" w:hAnsi="Calibri" w:cs="Calibri"/>
              <w:color w:val="000000"/>
            </w:rPr>
          </w:pPr>
          <w:hyperlink w:anchor="_heading=h.gm59gobt4m7f">
            <w:r>
              <w:rPr>
                <w:rFonts w:ascii="Calibri" w:eastAsia="Calibri" w:hAnsi="Calibri" w:cs="Calibri"/>
                <w:b/>
                <w:bCs/>
                <w:smallCaps/>
                <w:color w:val="000000"/>
                <w:sz w:val="20"/>
                <w:szCs w:val="20"/>
              </w:rPr>
              <w:t>MHA DEGREE PROGRAM</w:t>
            </w:r>
            <w:r>
              <w:rPr>
                <w:rFonts w:ascii="Calibri" w:eastAsia="Calibri" w:hAnsi="Calibri" w:cs="Calibri"/>
                <w:b/>
                <w:bCs/>
                <w:smallCaps/>
                <w:color w:val="000000"/>
                <w:sz w:val="20"/>
                <w:szCs w:val="20"/>
              </w:rPr>
              <w:tab/>
              <w:t>19</w:t>
            </w:r>
          </w:hyperlink>
        </w:p>
        <w:p w14:paraId="24EFDC37" w14:textId="77777777"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fs92avnrhiw8">
            <w:r>
              <w:rPr>
                <w:rFonts w:ascii="Calibri" w:eastAsia="Calibri" w:hAnsi="Calibri" w:cs="Calibri"/>
                <w:smallCaps/>
                <w:color w:val="000000"/>
                <w:sz w:val="20"/>
                <w:szCs w:val="20"/>
              </w:rPr>
              <w:t>MISSION, VISION, VALUES:</w:t>
            </w:r>
            <w:r>
              <w:rPr>
                <w:rFonts w:ascii="Calibri" w:eastAsia="Calibri" w:hAnsi="Calibri" w:cs="Calibri"/>
                <w:smallCaps/>
                <w:color w:val="000000"/>
                <w:sz w:val="20"/>
                <w:szCs w:val="20"/>
              </w:rPr>
              <w:tab/>
              <w:t>19</w:t>
            </w:r>
          </w:hyperlink>
        </w:p>
        <w:p w14:paraId="24EFDC38" w14:textId="77777777"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fcaobpki663y">
            <w:r>
              <w:rPr>
                <w:rFonts w:ascii="Calibri" w:eastAsia="Calibri" w:hAnsi="Calibri" w:cs="Calibri"/>
                <w:smallCaps/>
                <w:color w:val="000000"/>
                <w:sz w:val="20"/>
                <w:szCs w:val="20"/>
              </w:rPr>
              <w:t>MHA ACCREDITATION</w:t>
            </w:r>
            <w:r>
              <w:rPr>
                <w:rFonts w:ascii="Calibri" w:eastAsia="Calibri" w:hAnsi="Calibri" w:cs="Calibri"/>
                <w:smallCaps/>
                <w:color w:val="000000"/>
                <w:sz w:val="20"/>
                <w:szCs w:val="20"/>
              </w:rPr>
              <w:tab/>
              <w:t>19</w:t>
            </w:r>
          </w:hyperlink>
        </w:p>
        <w:p w14:paraId="24EFDC39" w14:textId="77777777"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kmliswkipnn">
            <w:r>
              <w:rPr>
                <w:rFonts w:ascii="Calibri" w:eastAsia="Calibri" w:hAnsi="Calibri" w:cs="Calibri"/>
                <w:smallCaps/>
                <w:color w:val="000000"/>
                <w:sz w:val="20"/>
                <w:szCs w:val="20"/>
              </w:rPr>
              <w:t>MHA DEGREE CURRICULUM</w:t>
            </w:r>
            <w:r>
              <w:rPr>
                <w:rFonts w:ascii="Calibri" w:eastAsia="Calibri" w:hAnsi="Calibri" w:cs="Calibri"/>
                <w:smallCaps/>
                <w:color w:val="000000"/>
                <w:sz w:val="20"/>
                <w:szCs w:val="20"/>
              </w:rPr>
              <w:tab/>
              <w:t>19</w:t>
            </w:r>
          </w:hyperlink>
        </w:p>
        <w:p w14:paraId="24EFDC3A" w14:textId="4287A41E"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a1rx722tsbbh">
            <w:r>
              <w:rPr>
                <w:rFonts w:ascii="Calibri" w:eastAsia="Calibri" w:hAnsi="Calibri" w:cs="Calibri"/>
                <w:smallCaps/>
                <w:color w:val="000000"/>
                <w:sz w:val="20"/>
                <w:szCs w:val="20"/>
              </w:rPr>
              <w:t>COMPETENCY ASSESSMENT</w:t>
            </w:r>
            <w:r>
              <w:rPr>
                <w:rFonts w:ascii="Calibri" w:eastAsia="Calibri" w:hAnsi="Calibri" w:cs="Calibri"/>
                <w:smallCaps/>
                <w:color w:val="000000"/>
                <w:sz w:val="20"/>
                <w:szCs w:val="20"/>
              </w:rPr>
              <w:tab/>
            </w:r>
            <w:r w:rsidR="0021373A">
              <w:rPr>
                <w:rFonts w:ascii="Calibri" w:eastAsia="Calibri" w:hAnsi="Calibri" w:cs="Calibri"/>
                <w:smallCaps/>
                <w:color w:val="000000"/>
                <w:sz w:val="20"/>
                <w:szCs w:val="20"/>
              </w:rPr>
              <w:t>19</w:t>
            </w:r>
          </w:hyperlink>
        </w:p>
        <w:p w14:paraId="24EFDC3B" w14:textId="77777777"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lunuuoia6vh4">
            <w:r>
              <w:rPr>
                <w:rFonts w:ascii="Calibri" w:eastAsia="Calibri" w:hAnsi="Calibri" w:cs="Calibri"/>
                <w:smallCaps/>
                <w:color w:val="000000"/>
                <w:sz w:val="20"/>
                <w:szCs w:val="20"/>
              </w:rPr>
              <w:t>MHA ADVISING POLICY</w:t>
            </w:r>
            <w:r>
              <w:rPr>
                <w:rFonts w:ascii="Calibri" w:eastAsia="Calibri" w:hAnsi="Calibri" w:cs="Calibri"/>
                <w:smallCaps/>
                <w:color w:val="000000"/>
                <w:sz w:val="20"/>
                <w:szCs w:val="20"/>
              </w:rPr>
              <w:tab/>
              <w:t>20</w:t>
            </w:r>
          </w:hyperlink>
        </w:p>
        <w:p w14:paraId="24EFDC3C" w14:textId="77777777"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3g9y9eusjluh">
            <w:r>
              <w:rPr>
                <w:rFonts w:ascii="Calibri" w:eastAsia="Calibri" w:hAnsi="Calibri" w:cs="Calibri"/>
                <w:smallCaps/>
                <w:color w:val="000000"/>
                <w:sz w:val="20"/>
                <w:szCs w:val="20"/>
              </w:rPr>
              <w:t>ADMISSION TO THE MHA DEGREE PROGRAM</w:t>
            </w:r>
            <w:r>
              <w:rPr>
                <w:rFonts w:ascii="Calibri" w:eastAsia="Calibri" w:hAnsi="Calibri" w:cs="Calibri"/>
                <w:smallCaps/>
                <w:color w:val="000000"/>
                <w:sz w:val="20"/>
                <w:szCs w:val="20"/>
              </w:rPr>
              <w:tab/>
              <w:t>20</w:t>
            </w:r>
          </w:hyperlink>
        </w:p>
        <w:p w14:paraId="24EFDC3D" w14:textId="77777777"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1ksv4uv">
            <w:r>
              <w:rPr>
                <w:rFonts w:ascii="Calibri" w:eastAsia="Calibri" w:hAnsi="Calibri" w:cs="Calibri"/>
                <w:smallCaps/>
                <w:color w:val="000000"/>
                <w:sz w:val="20"/>
                <w:szCs w:val="20"/>
              </w:rPr>
              <w:t>ADMITTED STUDENTS</w:t>
            </w:r>
            <w:r>
              <w:rPr>
                <w:rFonts w:ascii="Calibri" w:eastAsia="Calibri" w:hAnsi="Calibri" w:cs="Calibri"/>
                <w:smallCaps/>
                <w:color w:val="000000"/>
                <w:sz w:val="20"/>
                <w:szCs w:val="20"/>
              </w:rPr>
              <w:tab/>
              <w:t>21</w:t>
            </w:r>
          </w:hyperlink>
        </w:p>
        <w:p w14:paraId="24EFDC3E" w14:textId="77777777" w:rsidR="00D81755" w:rsidRDefault="0073296A">
          <w:pPr>
            <w:pBdr>
              <w:top w:val="nil"/>
              <w:left w:val="nil"/>
              <w:bottom w:val="nil"/>
              <w:right w:val="nil"/>
              <w:between w:val="nil"/>
            </w:pBdr>
            <w:tabs>
              <w:tab w:val="right" w:pos="10790"/>
            </w:tabs>
            <w:spacing w:before="120" w:after="120"/>
            <w:rPr>
              <w:rFonts w:ascii="Calibri" w:eastAsia="Calibri" w:hAnsi="Calibri" w:cs="Calibri"/>
              <w:color w:val="000000"/>
            </w:rPr>
          </w:pPr>
          <w:hyperlink w:anchor="_heading=h.30ei2a5h1ygc">
            <w:r>
              <w:rPr>
                <w:rFonts w:ascii="Calibri" w:eastAsia="Calibri" w:hAnsi="Calibri" w:cs="Calibri"/>
                <w:b/>
                <w:bCs/>
                <w:smallCaps/>
                <w:color w:val="000000"/>
                <w:sz w:val="20"/>
                <w:szCs w:val="20"/>
              </w:rPr>
              <w:t>COMBINED AND CONCURRENT DEGREE PROGRAMS</w:t>
            </w:r>
            <w:r>
              <w:rPr>
                <w:rFonts w:ascii="Calibri" w:eastAsia="Calibri" w:hAnsi="Calibri" w:cs="Calibri"/>
                <w:b/>
                <w:bCs/>
                <w:smallCaps/>
                <w:color w:val="000000"/>
                <w:sz w:val="20"/>
                <w:szCs w:val="20"/>
              </w:rPr>
              <w:tab/>
              <w:t>22</w:t>
            </w:r>
          </w:hyperlink>
        </w:p>
        <w:p w14:paraId="24EFDC3F" w14:textId="77777777"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qy432bp0iw2g">
            <w:r>
              <w:rPr>
                <w:rFonts w:ascii="Calibri" w:eastAsia="Calibri" w:hAnsi="Calibri" w:cs="Calibri"/>
                <w:smallCaps/>
                <w:color w:val="000000"/>
                <w:sz w:val="20"/>
                <w:szCs w:val="20"/>
              </w:rPr>
              <w:t>MBA/MPH</w:t>
            </w:r>
            <w:r>
              <w:rPr>
                <w:rFonts w:ascii="Calibri" w:eastAsia="Calibri" w:hAnsi="Calibri" w:cs="Calibri"/>
                <w:smallCaps/>
                <w:color w:val="000000"/>
                <w:sz w:val="20"/>
                <w:szCs w:val="20"/>
              </w:rPr>
              <w:tab/>
              <w:t>22</w:t>
            </w:r>
          </w:hyperlink>
        </w:p>
        <w:p w14:paraId="24EFDC40" w14:textId="77777777"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ixxm9umejut7">
            <w:r>
              <w:rPr>
                <w:rFonts w:ascii="Calibri" w:eastAsia="Calibri" w:hAnsi="Calibri" w:cs="Calibri"/>
                <w:smallCaps/>
                <w:color w:val="000000"/>
                <w:sz w:val="20"/>
                <w:szCs w:val="20"/>
              </w:rPr>
              <w:t>MPH/MAPP</w:t>
            </w:r>
            <w:r>
              <w:rPr>
                <w:rFonts w:ascii="Calibri" w:eastAsia="Calibri" w:hAnsi="Calibri" w:cs="Calibri"/>
                <w:smallCaps/>
                <w:color w:val="000000"/>
                <w:sz w:val="20"/>
                <w:szCs w:val="20"/>
              </w:rPr>
              <w:tab/>
              <w:t>22</w:t>
            </w:r>
          </w:hyperlink>
        </w:p>
        <w:p w14:paraId="24EFDC41" w14:textId="77777777"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n1r1jnsd4l4z">
            <w:r>
              <w:rPr>
                <w:rFonts w:ascii="Calibri" w:eastAsia="Calibri" w:hAnsi="Calibri" w:cs="Calibri"/>
                <w:smallCaps/>
                <w:color w:val="000000"/>
                <w:sz w:val="20"/>
                <w:szCs w:val="20"/>
              </w:rPr>
              <w:t>MPH/MS in Nutrition</w:t>
            </w:r>
            <w:r>
              <w:rPr>
                <w:rFonts w:ascii="Calibri" w:eastAsia="Calibri" w:hAnsi="Calibri" w:cs="Calibri"/>
                <w:smallCaps/>
                <w:color w:val="000000"/>
                <w:sz w:val="20"/>
                <w:szCs w:val="20"/>
              </w:rPr>
              <w:tab/>
              <w:t>22</w:t>
            </w:r>
          </w:hyperlink>
        </w:p>
        <w:p w14:paraId="24EFDC42" w14:textId="77777777"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6euquuajongm">
            <w:r>
              <w:rPr>
                <w:rFonts w:ascii="Calibri" w:eastAsia="Calibri" w:hAnsi="Calibri" w:cs="Calibri"/>
                <w:smallCaps/>
                <w:color w:val="000000"/>
                <w:sz w:val="20"/>
                <w:szCs w:val="20"/>
              </w:rPr>
              <w:t>MSW/MPH</w:t>
            </w:r>
            <w:r>
              <w:rPr>
                <w:rFonts w:ascii="Calibri" w:eastAsia="Calibri" w:hAnsi="Calibri" w:cs="Calibri"/>
                <w:smallCaps/>
                <w:color w:val="000000"/>
                <w:sz w:val="20"/>
                <w:szCs w:val="20"/>
              </w:rPr>
              <w:tab/>
              <w:t>23</w:t>
            </w:r>
          </w:hyperlink>
        </w:p>
        <w:p w14:paraId="24EFDC43" w14:textId="77777777"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l89xi8p6iuow">
            <w:r>
              <w:rPr>
                <w:rFonts w:ascii="Calibri" w:eastAsia="Calibri" w:hAnsi="Calibri" w:cs="Calibri"/>
                <w:smallCaps/>
                <w:color w:val="000000"/>
                <w:sz w:val="20"/>
                <w:szCs w:val="20"/>
              </w:rPr>
              <w:t>ADMISSION REQUIREMENTS FOR COMBINED DEGREE PROGRAMS</w:t>
            </w:r>
            <w:r>
              <w:rPr>
                <w:rFonts w:ascii="Calibri" w:eastAsia="Calibri" w:hAnsi="Calibri" w:cs="Calibri"/>
                <w:smallCaps/>
                <w:color w:val="000000"/>
                <w:sz w:val="20"/>
                <w:szCs w:val="20"/>
              </w:rPr>
              <w:tab/>
              <w:t>23</w:t>
            </w:r>
          </w:hyperlink>
        </w:p>
        <w:p w14:paraId="24EFDC44" w14:textId="77777777"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91asoniygdiv">
            <w:r>
              <w:rPr>
                <w:rFonts w:ascii="Calibri" w:eastAsia="Calibri" w:hAnsi="Calibri" w:cs="Calibri"/>
                <w:smallCaps/>
                <w:color w:val="000000"/>
                <w:sz w:val="20"/>
                <w:szCs w:val="20"/>
              </w:rPr>
              <w:t>MD/MPH (COMBINED) &amp; DDS/MPH (CONCURRENT) Degree Programs</w:t>
            </w:r>
            <w:r>
              <w:rPr>
                <w:rFonts w:ascii="Calibri" w:eastAsia="Calibri" w:hAnsi="Calibri" w:cs="Calibri"/>
                <w:smallCaps/>
                <w:color w:val="000000"/>
                <w:sz w:val="20"/>
                <w:szCs w:val="20"/>
              </w:rPr>
              <w:tab/>
              <w:t>23</w:t>
            </w:r>
          </w:hyperlink>
        </w:p>
        <w:p w14:paraId="24EFDC45" w14:textId="77777777" w:rsidR="00D81755" w:rsidRDefault="0073296A">
          <w:pPr>
            <w:pBdr>
              <w:top w:val="nil"/>
              <w:left w:val="nil"/>
              <w:bottom w:val="nil"/>
              <w:right w:val="nil"/>
              <w:between w:val="nil"/>
            </w:pBdr>
            <w:tabs>
              <w:tab w:val="right" w:pos="10790"/>
            </w:tabs>
            <w:spacing w:before="120" w:after="120"/>
            <w:rPr>
              <w:rFonts w:ascii="Calibri" w:eastAsia="Calibri" w:hAnsi="Calibri" w:cs="Calibri"/>
              <w:color w:val="000000"/>
            </w:rPr>
          </w:pPr>
          <w:hyperlink w:anchor="_heading=h.jopzqyro6mkk">
            <w:r>
              <w:rPr>
                <w:rFonts w:ascii="Calibri" w:eastAsia="Calibri" w:hAnsi="Calibri" w:cs="Calibri"/>
                <w:b/>
                <w:bCs/>
                <w:smallCaps/>
                <w:color w:val="000000"/>
                <w:sz w:val="20"/>
                <w:szCs w:val="20"/>
              </w:rPr>
              <w:t>ADVANCED GRADUATE CERTIFICATE</w:t>
            </w:r>
            <w:r>
              <w:rPr>
                <w:rFonts w:ascii="Calibri" w:eastAsia="Calibri" w:hAnsi="Calibri" w:cs="Calibri"/>
                <w:b/>
                <w:bCs/>
                <w:smallCaps/>
                <w:color w:val="000000"/>
                <w:sz w:val="20"/>
                <w:szCs w:val="20"/>
              </w:rPr>
              <w:tab/>
              <w:t>24</w:t>
            </w:r>
          </w:hyperlink>
        </w:p>
        <w:p w14:paraId="24EFDC46" w14:textId="418F8F85" w:rsidR="00D81755" w:rsidRDefault="0073296A">
          <w:pPr>
            <w:pBdr>
              <w:top w:val="nil"/>
              <w:left w:val="nil"/>
              <w:bottom w:val="nil"/>
              <w:right w:val="nil"/>
              <w:between w:val="nil"/>
            </w:pBdr>
            <w:tabs>
              <w:tab w:val="right" w:pos="10790"/>
            </w:tabs>
            <w:spacing w:before="120" w:after="120"/>
            <w:rPr>
              <w:rFonts w:ascii="Calibri" w:eastAsia="Calibri" w:hAnsi="Calibri" w:cs="Calibri"/>
              <w:color w:val="000000"/>
            </w:rPr>
          </w:pPr>
          <w:hyperlink w:anchor="_heading=h.kq33pgm4f2s">
            <w:r>
              <w:rPr>
                <w:rFonts w:ascii="Calibri" w:eastAsia="Calibri" w:hAnsi="Calibri" w:cs="Calibri"/>
                <w:b/>
                <w:bCs/>
                <w:smallCaps/>
                <w:color w:val="000000"/>
                <w:sz w:val="20"/>
                <w:szCs w:val="20"/>
              </w:rPr>
              <w:t>THE MS in EPIDEMIOLOGY AND CLINICAL RESEARCH PROGRAM</w:t>
            </w:r>
            <w:r>
              <w:rPr>
                <w:rFonts w:ascii="Calibri" w:eastAsia="Calibri" w:hAnsi="Calibri" w:cs="Calibri"/>
                <w:b/>
                <w:bCs/>
                <w:smallCaps/>
                <w:color w:val="000000"/>
                <w:sz w:val="20"/>
                <w:szCs w:val="20"/>
              </w:rPr>
              <w:tab/>
              <w:t>2</w:t>
            </w:r>
            <w:r w:rsidR="0021373A">
              <w:rPr>
                <w:rFonts w:ascii="Calibri" w:eastAsia="Calibri" w:hAnsi="Calibri" w:cs="Calibri"/>
                <w:b/>
                <w:bCs/>
                <w:smallCaps/>
                <w:color w:val="000000"/>
                <w:sz w:val="20"/>
                <w:szCs w:val="20"/>
              </w:rPr>
              <w:t>4</w:t>
            </w:r>
          </w:hyperlink>
        </w:p>
        <w:p w14:paraId="24EFDC47" w14:textId="77777777"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qedkc9w7ij3l">
            <w:r>
              <w:rPr>
                <w:rFonts w:ascii="Calibri" w:eastAsia="Calibri" w:hAnsi="Calibri" w:cs="Calibri"/>
                <w:smallCaps/>
                <w:color w:val="000000"/>
                <w:sz w:val="20"/>
                <w:szCs w:val="20"/>
              </w:rPr>
              <w:t>ADMISSION</w:t>
            </w:r>
            <w:r>
              <w:rPr>
                <w:rFonts w:ascii="Calibri" w:eastAsia="Calibri" w:hAnsi="Calibri" w:cs="Calibri"/>
                <w:smallCaps/>
                <w:color w:val="000000"/>
                <w:sz w:val="20"/>
                <w:szCs w:val="20"/>
              </w:rPr>
              <w:tab/>
              <w:t>25</w:t>
            </w:r>
          </w:hyperlink>
        </w:p>
        <w:p w14:paraId="24EFDC48" w14:textId="77777777"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jzam9lj3iif">
            <w:r>
              <w:rPr>
                <w:rFonts w:ascii="Calibri" w:eastAsia="Calibri" w:hAnsi="Calibri" w:cs="Calibri"/>
                <w:smallCaps/>
                <w:color w:val="000000"/>
                <w:sz w:val="20"/>
                <w:szCs w:val="20"/>
              </w:rPr>
              <w:t>MS CURRICULUM AND REQUIREMENTS</w:t>
            </w:r>
            <w:r>
              <w:rPr>
                <w:rFonts w:ascii="Calibri" w:eastAsia="Calibri" w:hAnsi="Calibri" w:cs="Calibri"/>
                <w:smallCaps/>
                <w:color w:val="000000"/>
                <w:sz w:val="20"/>
                <w:szCs w:val="20"/>
              </w:rPr>
              <w:tab/>
              <w:t>25</w:t>
            </w:r>
          </w:hyperlink>
        </w:p>
        <w:p w14:paraId="24EFDC49" w14:textId="6A2C05AC" w:rsidR="00D81755" w:rsidRDefault="0073296A">
          <w:pPr>
            <w:pBdr>
              <w:top w:val="nil"/>
              <w:left w:val="nil"/>
              <w:bottom w:val="nil"/>
              <w:right w:val="nil"/>
              <w:between w:val="nil"/>
            </w:pBdr>
            <w:tabs>
              <w:tab w:val="right" w:pos="10790"/>
            </w:tabs>
            <w:spacing w:before="120" w:after="120"/>
            <w:rPr>
              <w:rFonts w:ascii="Calibri" w:eastAsia="Calibri" w:hAnsi="Calibri" w:cs="Calibri"/>
              <w:color w:val="000000"/>
            </w:rPr>
          </w:pPr>
          <w:hyperlink w:anchor="_heading=h.r0muba8k27qq">
            <w:r>
              <w:rPr>
                <w:rFonts w:ascii="Calibri" w:eastAsia="Calibri" w:hAnsi="Calibri" w:cs="Calibri"/>
                <w:b/>
                <w:bCs/>
                <w:smallCaps/>
                <w:color w:val="000000"/>
                <w:sz w:val="20"/>
                <w:szCs w:val="20"/>
              </w:rPr>
              <w:t>THE PhD PROGRAM IN POPULATION HEALTH AND IN CLINICAL OUTCOMES RESEARCH</w:t>
            </w:r>
            <w:r>
              <w:rPr>
                <w:rFonts w:ascii="Calibri" w:eastAsia="Calibri" w:hAnsi="Calibri" w:cs="Calibri"/>
                <w:b/>
                <w:bCs/>
                <w:smallCaps/>
                <w:color w:val="000000"/>
                <w:sz w:val="20"/>
                <w:szCs w:val="20"/>
              </w:rPr>
              <w:tab/>
            </w:r>
            <w:r w:rsidR="0021373A">
              <w:rPr>
                <w:rFonts w:ascii="Calibri" w:eastAsia="Calibri" w:hAnsi="Calibri" w:cs="Calibri"/>
                <w:b/>
                <w:bCs/>
                <w:smallCaps/>
                <w:color w:val="000000"/>
                <w:sz w:val="20"/>
                <w:szCs w:val="20"/>
              </w:rPr>
              <w:t>25</w:t>
            </w:r>
          </w:hyperlink>
        </w:p>
        <w:p w14:paraId="24EFDC4A" w14:textId="4EFF2256"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f4wo3e5v47lr">
            <w:r>
              <w:rPr>
                <w:rFonts w:ascii="Calibri" w:eastAsia="Calibri" w:hAnsi="Calibri" w:cs="Calibri"/>
                <w:smallCaps/>
                <w:color w:val="000000"/>
                <w:sz w:val="20"/>
                <w:szCs w:val="20"/>
              </w:rPr>
              <w:t>ADMISSION</w:t>
            </w:r>
            <w:r>
              <w:rPr>
                <w:rFonts w:ascii="Calibri" w:eastAsia="Calibri" w:hAnsi="Calibri" w:cs="Calibri"/>
                <w:smallCaps/>
                <w:color w:val="000000"/>
                <w:sz w:val="20"/>
                <w:szCs w:val="20"/>
              </w:rPr>
              <w:tab/>
              <w:t>2</w:t>
            </w:r>
            <w:r w:rsidR="0021373A">
              <w:rPr>
                <w:rFonts w:ascii="Calibri" w:eastAsia="Calibri" w:hAnsi="Calibri" w:cs="Calibri"/>
                <w:smallCaps/>
                <w:color w:val="000000"/>
                <w:sz w:val="20"/>
                <w:szCs w:val="20"/>
              </w:rPr>
              <w:t>5</w:t>
            </w:r>
          </w:hyperlink>
        </w:p>
        <w:p w14:paraId="24EFDC4B" w14:textId="06170FFA"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fvtzdv1tndg">
            <w:r>
              <w:rPr>
                <w:rFonts w:ascii="Calibri" w:eastAsia="Calibri" w:hAnsi="Calibri" w:cs="Calibri"/>
                <w:smallCaps/>
                <w:color w:val="000000"/>
                <w:sz w:val="20"/>
                <w:szCs w:val="20"/>
              </w:rPr>
              <w:t>PhD CURRICULUM AND REQUIREMENTS</w:t>
            </w:r>
            <w:r>
              <w:rPr>
                <w:rFonts w:ascii="Calibri" w:eastAsia="Calibri" w:hAnsi="Calibri" w:cs="Calibri"/>
                <w:smallCaps/>
                <w:color w:val="000000"/>
                <w:sz w:val="20"/>
                <w:szCs w:val="20"/>
              </w:rPr>
              <w:tab/>
              <w:t>2</w:t>
            </w:r>
            <w:r w:rsidR="0021373A">
              <w:rPr>
                <w:rFonts w:ascii="Calibri" w:eastAsia="Calibri" w:hAnsi="Calibri" w:cs="Calibri"/>
                <w:smallCaps/>
                <w:color w:val="000000"/>
                <w:sz w:val="20"/>
                <w:szCs w:val="20"/>
              </w:rPr>
              <w:t>5</w:t>
            </w:r>
          </w:hyperlink>
        </w:p>
        <w:p w14:paraId="24EFDC4C" w14:textId="3B563E04"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r7xdaclnb0uy">
            <w:r>
              <w:rPr>
                <w:rFonts w:ascii="Calibri" w:eastAsia="Calibri" w:hAnsi="Calibri" w:cs="Calibri"/>
                <w:smallCaps/>
                <w:color w:val="000000"/>
                <w:sz w:val="20"/>
                <w:szCs w:val="20"/>
              </w:rPr>
              <w:t>ADDITIONAL REQUIREMENTS</w:t>
            </w:r>
            <w:r>
              <w:rPr>
                <w:rFonts w:ascii="Calibri" w:eastAsia="Calibri" w:hAnsi="Calibri" w:cs="Calibri"/>
                <w:smallCaps/>
                <w:color w:val="000000"/>
                <w:sz w:val="20"/>
                <w:szCs w:val="20"/>
              </w:rPr>
              <w:tab/>
            </w:r>
            <w:r w:rsidR="0021373A">
              <w:rPr>
                <w:rFonts w:ascii="Calibri" w:eastAsia="Calibri" w:hAnsi="Calibri" w:cs="Calibri"/>
                <w:smallCaps/>
                <w:color w:val="000000"/>
                <w:sz w:val="20"/>
                <w:szCs w:val="20"/>
              </w:rPr>
              <w:t>27</w:t>
            </w:r>
          </w:hyperlink>
        </w:p>
        <w:p w14:paraId="24EFDC4D" w14:textId="73ABD6DA"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61pufqmx6b2a">
            <w:r>
              <w:rPr>
                <w:rFonts w:ascii="Calibri" w:eastAsia="Calibri" w:hAnsi="Calibri" w:cs="Calibri"/>
                <w:smallCaps/>
                <w:color w:val="000000"/>
                <w:sz w:val="20"/>
                <w:szCs w:val="20"/>
              </w:rPr>
              <w:t>STUDENT MILESTONES</w:t>
            </w:r>
            <w:r>
              <w:rPr>
                <w:rFonts w:ascii="Calibri" w:eastAsia="Calibri" w:hAnsi="Calibri" w:cs="Calibri"/>
                <w:smallCaps/>
                <w:color w:val="000000"/>
                <w:sz w:val="20"/>
                <w:szCs w:val="20"/>
              </w:rPr>
              <w:tab/>
              <w:t>2</w:t>
            </w:r>
            <w:r w:rsidR="0021373A">
              <w:rPr>
                <w:rFonts w:ascii="Calibri" w:eastAsia="Calibri" w:hAnsi="Calibri" w:cs="Calibri"/>
                <w:smallCaps/>
                <w:color w:val="000000"/>
                <w:sz w:val="20"/>
                <w:szCs w:val="20"/>
              </w:rPr>
              <w:t>8</w:t>
            </w:r>
          </w:hyperlink>
        </w:p>
        <w:p w14:paraId="24EFDC4E" w14:textId="77777777"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15w9ogrhn8s2">
            <w:r>
              <w:rPr>
                <w:rFonts w:ascii="Calibri" w:eastAsia="Calibri" w:hAnsi="Calibri" w:cs="Calibri"/>
                <w:smallCaps/>
                <w:color w:val="000000"/>
                <w:sz w:val="20"/>
                <w:szCs w:val="20"/>
              </w:rPr>
              <w:t>SPECIAL CIRCUMSTANCES</w:t>
            </w:r>
            <w:r>
              <w:rPr>
                <w:rFonts w:ascii="Calibri" w:eastAsia="Calibri" w:hAnsi="Calibri" w:cs="Calibri"/>
                <w:smallCaps/>
                <w:color w:val="000000"/>
                <w:sz w:val="20"/>
                <w:szCs w:val="20"/>
              </w:rPr>
              <w:tab/>
              <w:t>33</w:t>
            </w:r>
          </w:hyperlink>
        </w:p>
        <w:p w14:paraId="24EFDC4F" w14:textId="6D098BCF" w:rsidR="00D81755" w:rsidRDefault="0073296A">
          <w:pPr>
            <w:pBdr>
              <w:top w:val="nil"/>
              <w:left w:val="nil"/>
              <w:bottom w:val="nil"/>
              <w:right w:val="nil"/>
              <w:between w:val="nil"/>
            </w:pBdr>
            <w:tabs>
              <w:tab w:val="right" w:pos="10790"/>
            </w:tabs>
            <w:spacing w:before="120" w:after="120"/>
            <w:rPr>
              <w:rFonts w:ascii="Calibri" w:eastAsia="Calibri" w:hAnsi="Calibri" w:cs="Calibri"/>
              <w:color w:val="000000"/>
            </w:rPr>
          </w:pPr>
          <w:hyperlink w:anchor="_heading=h.4mkguwle4u3v">
            <w:r>
              <w:rPr>
                <w:rFonts w:ascii="Calibri" w:eastAsia="Calibri" w:hAnsi="Calibri" w:cs="Calibri"/>
                <w:b/>
                <w:bCs/>
                <w:smallCaps/>
                <w:color w:val="000000"/>
                <w:sz w:val="20"/>
                <w:szCs w:val="20"/>
              </w:rPr>
              <w:t>STUDENT GROUPS</w:t>
            </w:r>
            <w:r>
              <w:rPr>
                <w:rFonts w:ascii="Calibri" w:eastAsia="Calibri" w:hAnsi="Calibri" w:cs="Calibri"/>
                <w:b/>
                <w:bCs/>
                <w:smallCaps/>
                <w:color w:val="000000"/>
                <w:sz w:val="20"/>
                <w:szCs w:val="20"/>
              </w:rPr>
              <w:tab/>
              <w:t>3</w:t>
            </w:r>
            <w:r w:rsidR="008D3FB8">
              <w:rPr>
                <w:rFonts w:ascii="Calibri" w:eastAsia="Calibri" w:hAnsi="Calibri" w:cs="Calibri"/>
                <w:b/>
                <w:bCs/>
                <w:smallCaps/>
                <w:color w:val="000000"/>
                <w:sz w:val="20"/>
                <w:szCs w:val="20"/>
              </w:rPr>
              <w:t>4</w:t>
            </w:r>
          </w:hyperlink>
        </w:p>
        <w:p w14:paraId="24EFDC50" w14:textId="77777777"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4mkguwle4u3v">
            <w:r>
              <w:rPr>
                <w:rFonts w:ascii="Calibri" w:eastAsia="Calibri" w:hAnsi="Calibri" w:cs="Calibri"/>
                <w:smallCaps/>
                <w:color w:val="000000"/>
                <w:sz w:val="20"/>
                <w:szCs w:val="20"/>
              </w:rPr>
              <w:t>ORGANIZATION OF PUBLIC HEALTH STUDENTS &amp; ALUMNI (OPHSA)</w:t>
            </w:r>
            <w:r>
              <w:rPr>
                <w:rFonts w:ascii="Calibri" w:eastAsia="Calibri" w:hAnsi="Calibri" w:cs="Calibri"/>
                <w:smallCaps/>
                <w:color w:val="000000"/>
                <w:sz w:val="20"/>
                <w:szCs w:val="20"/>
              </w:rPr>
              <w:tab/>
              <w:t>35</w:t>
            </w:r>
          </w:hyperlink>
        </w:p>
        <w:p w14:paraId="24EFDC51" w14:textId="07FA539D"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kdzmazjrf7yy">
            <w:r>
              <w:rPr>
                <w:rFonts w:ascii="Calibri" w:eastAsia="Calibri" w:hAnsi="Calibri" w:cs="Calibri"/>
                <w:smallCaps/>
                <w:color w:val="000000"/>
                <w:sz w:val="20"/>
                <w:szCs w:val="20"/>
              </w:rPr>
              <w:t>FUTURE HEALTHCARE LEADERS OF STONY BROOK</w:t>
            </w:r>
            <w:r>
              <w:rPr>
                <w:rFonts w:ascii="Calibri" w:eastAsia="Calibri" w:hAnsi="Calibri" w:cs="Calibri"/>
                <w:smallCaps/>
                <w:color w:val="000000"/>
                <w:sz w:val="20"/>
                <w:szCs w:val="20"/>
              </w:rPr>
              <w:tab/>
              <w:t>35</w:t>
            </w:r>
          </w:hyperlink>
          <w:r w:rsidR="008D3FB8">
            <w:br/>
          </w:r>
          <w:hyperlink w:anchor="_heading=h.kdzmazjrf7yy">
            <w:r w:rsidR="008D3FB8">
              <w:rPr>
                <w:rFonts w:ascii="Calibri" w:eastAsia="Calibri" w:hAnsi="Calibri" w:cs="Calibri"/>
                <w:smallCaps/>
                <w:color w:val="000000"/>
                <w:sz w:val="20"/>
                <w:szCs w:val="20"/>
              </w:rPr>
              <w:t>PUBLIC HEALTH STUDENT RESEARCH GROUP</w:t>
            </w:r>
            <w:r w:rsidR="008D3FB8">
              <w:rPr>
                <w:rFonts w:ascii="Calibri" w:eastAsia="Calibri" w:hAnsi="Calibri" w:cs="Calibri"/>
                <w:smallCaps/>
                <w:color w:val="000000"/>
                <w:sz w:val="20"/>
                <w:szCs w:val="20"/>
              </w:rPr>
              <w:tab/>
              <w:t>35</w:t>
            </w:r>
          </w:hyperlink>
        </w:p>
        <w:p w14:paraId="24EFDC52" w14:textId="13E33787" w:rsidR="00D81755" w:rsidRDefault="0073296A">
          <w:pPr>
            <w:pBdr>
              <w:top w:val="nil"/>
              <w:left w:val="nil"/>
              <w:bottom w:val="nil"/>
              <w:right w:val="nil"/>
              <w:between w:val="nil"/>
            </w:pBdr>
            <w:tabs>
              <w:tab w:val="right" w:pos="10790"/>
            </w:tabs>
            <w:spacing w:before="120" w:after="120"/>
            <w:rPr>
              <w:rFonts w:ascii="Calibri" w:eastAsia="Calibri" w:hAnsi="Calibri" w:cs="Calibri"/>
              <w:color w:val="000000"/>
            </w:rPr>
          </w:pPr>
          <w:hyperlink w:anchor="_heading=h.vp2enw1v1j5l">
            <w:r>
              <w:rPr>
                <w:rFonts w:ascii="Calibri" w:eastAsia="Calibri" w:hAnsi="Calibri" w:cs="Calibri"/>
                <w:b/>
                <w:bCs/>
                <w:smallCaps/>
                <w:color w:val="000000"/>
                <w:sz w:val="20"/>
                <w:szCs w:val="20"/>
              </w:rPr>
              <w:t>PROGRAM AND UNIVERSITY POLICIES</w:t>
            </w:r>
            <w:r>
              <w:rPr>
                <w:rFonts w:ascii="Calibri" w:eastAsia="Calibri" w:hAnsi="Calibri" w:cs="Calibri"/>
                <w:b/>
                <w:bCs/>
                <w:smallCaps/>
                <w:color w:val="000000"/>
                <w:sz w:val="20"/>
                <w:szCs w:val="20"/>
              </w:rPr>
              <w:tab/>
              <w:t>3</w:t>
            </w:r>
            <w:r w:rsidR="008D3FB8">
              <w:rPr>
                <w:rFonts w:ascii="Calibri" w:eastAsia="Calibri" w:hAnsi="Calibri" w:cs="Calibri"/>
                <w:b/>
                <w:bCs/>
                <w:smallCaps/>
                <w:color w:val="000000"/>
                <w:sz w:val="20"/>
                <w:szCs w:val="20"/>
              </w:rPr>
              <w:t>5</w:t>
            </w:r>
          </w:hyperlink>
        </w:p>
        <w:p w14:paraId="24EFDC53" w14:textId="3EFF29E7"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ca23oykhzuub">
            <w:r>
              <w:rPr>
                <w:rFonts w:ascii="Calibri" w:eastAsia="Calibri" w:hAnsi="Calibri" w:cs="Calibri"/>
                <w:smallCaps/>
                <w:color w:val="000000"/>
                <w:sz w:val="20"/>
                <w:szCs w:val="20"/>
              </w:rPr>
              <w:t>STATEMENT OF STUDENT RESPONSIBILITY</w:t>
            </w:r>
            <w:r>
              <w:rPr>
                <w:rFonts w:ascii="Calibri" w:eastAsia="Calibri" w:hAnsi="Calibri" w:cs="Calibri"/>
                <w:smallCaps/>
                <w:color w:val="000000"/>
                <w:sz w:val="20"/>
                <w:szCs w:val="20"/>
              </w:rPr>
              <w:tab/>
              <w:t>3</w:t>
            </w:r>
            <w:r w:rsidR="008D3FB8">
              <w:rPr>
                <w:rFonts w:ascii="Calibri" w:eastAsia="Calibri" w:hAnsi="Calibri" w:cs="Calibri"/>
                <w:smallCaps/>
                <w:color w:val="000000"/>
                <w:sz w:val="20"/>
                <w:szCs w:val="20"/>
              </w:rPr>
              <w:t>5</w:t>
            </w:r>
          </w:hyperlink>
        </w:p>
        <w:p w14:paraId="24EFDC54" w14:textId="7615CB7D"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444dlv8fpect">
            <w:r>
              <w:rPr>
                <w:rFonts w:ascii="Calibri" w:eastAsia="Calibri" w:hAnsi="Calibri" w:cs="Calibri"/>
                <w:smallCaps/>
                <w:color w:val="000000"/>
                <w:sz w:val="20"/>
                <w:szCs w:val="20"/>
              </w:rPr>
              <w:t>GRADING</w:t>
            </w:r>
            <w:r>
              <w:rPr>
                <w:rFonts w:ascii="Calibri" w:eastAsia="Calibri" w:hAnsi="Calibri" w:cs="Calibri"/>
                <w:smallCaps/>
                <w:color w:val="000000"/>
                <w:sz w:val="20"/>
                <w:szCs w:val="20"/>
              </w:rPr>
              <w:tab/>
              <w:t>3</w:t>
            </w:r>
            <w:r w:rsidR="008D3FB8">
              <w:rPr>
                <w:rFonts w:ascii="Calibri" w:eastAsia="Calibri" w:hAnsi="Calibri" w:cs="Calibri"/>
                <w:smallCaps/>
                <w:color w:val="000000"/>
                <w:sz w:val="20"/>
                <w:szCs w:val="20"/>
              </w:rPr>
              <w:t>5</w:t>
            </w:r>
          </w:hyperlink>
        </w:p>
        <w:p w14:paraId="24EFDC55" w14:textId="6F1AE2C3"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180nm32gf6lf">
            <w:r>
              <w:rPr>
                <w:rFonts w:ascii="Calibri" w:eastAsia="Calibri" w:hAnsi="Calibri" w:cs="Calibri"/>
                <w:smallCaps/>
                <w:color w:val="000000"/>
                <w:sz w:val="20"/>
                <w:szCs w:val="20"/>
              </w:rPr>
              <w:t>ACADEMIC PROGRESS &amp; ACADEMIC STANDING</w:t>
            </w:r>
            <w:r>
              <w:rPr>
                <w:rFonts w:ascii="Calibri" w:eastAsia="Calibri" w:hAnsi="Calibri" w:cs="Calibri"/>
                <w:smallCaps/>
                <w:color w:val="000000"/>
                <w:sz w:val="20"/>
                <w:szCs w:val="20"/>
              </w:rPr>
              <w:tab/>
              <w:t>3</w:t>
            </w:r>
            <w:r w:rsidR="008D3FB8">
              <w:rPr>
                <w:rFonts w:ascii="Calibri" w:eastAsia="Calibri" w:hAnsi="Calibri" w:cs="Calibri"/>
                <w:smallCaps/>
                <w:color w:val="000000"/>
                <w:sz w:val="20"/>
                <w:szCs w:val="20"/>
              </w:rPr>
              <w:t>5</w:t>
            </w:r>
          </w:hyperlink>
        </w:p>
        <w:p w14:paraId="24EFDC56" w14:textId="6DFF1F20"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q6mzp3ph44mh">
            <w:r>
              <w:rPr>
                <w:rFonts w:ascii="Calibri" w:eastAsia="Calibri" w:hAnsi="Calibri" w:cs="Calibri"/>
                <w:smallCaps/>
                <w:color w:val="000000"/>
                <w:sz w:val="20"/>
                <w:szCs w:val="20"/>
              </w:rPr>
              <w:t>ENROLLMENT NOTIFICATION POLICY</w:t>
            </w:r>
            <w:r>
              <w:rPr>
                <w:rFonts w:ascii="Calibri" w:eastAsia="Calibri" w:hAnsi="Calibri" w:cs="Calibri"/>
                <w:smallCaps/>
                <w:color w:val="000000"/>
                <w:sz w:val="20"/>
                <w:szCs w:val="20"/>
              </w:rPr>
              <w:tab/>
              <w:t>3</w:t>
            </w:r>
            <w:r w:rsidR="008D3FB8">
              <w:rPr>
                <w:rFonts w:ascii="Calibri" w:eastAsia="Calibri" w:hAnsi="Calibri" w:cs="Calibri"/>
                <w:smallCaps/>
                <w:color w:val="000000"/>
                <w:sz w:val="20"/>
                <w:szCs w:val="20"/>
              </w:rPr>
              <w:t>6</w:t>
            </w:r>
          </w:hyperlink>
        </w:p>
        <w:p w14:paraId="24EFDC57" w14:textId="6CB2AFDD"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35w3vya1m5zh">
            <w:r>
              <w:rPr>
                <w:rFonts w:ascii="Calibri" w:eastAsia="Calibri" w:hAnsi="Calibri" w:cs="Calibri"/>
                <w:smallCaps/>
                <w:color w:val="000000"/>
                <w:sz w:val="20"/>
                <w:szCs w:val="20"/>
              </w:rPr>
              <w:t>TIME AND LOCATION OF COURSES</w:t>
            </w:r>
            <w:r>
              <w:rPr>
                <w:rFonts w:ascii="Calibri" w:eastAsia="Calibri" w:hAnsi="Calibri" w:cs="Calibri"/>
                <w:smallCaps/>
                <w:color w:val="000000"/>
                <w:sz w:val="20"/>
                <w:szCs w:val="20"/>
              </w:rPr>
              <w:tab/>
              <w:t>3</w:t>
            </w:r>
            <w:r w:rsidR="008D3FB8">
              <w:rPr>
                <w:rFonts w:ascii="Calibri" w:eastAsia="Calibri" w:hAnsi="Calibri" w:cs="Calibri"/>
                <w:smallCaps/>
                <w:color w:val="000000"/>
                <w:sz w:val="20"/>
                <w:szCs w:val="20"/>
              </w:rPr>
              <w:t>6</w:t>
            </w:r>
          </w:hyperlink>
        </w:p>
        <w:p w14:paraId="24EFDC58" w14:textId="2662EAB6"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323l0uzg5xj9">
            <w:r>
              <w:rPr>
                <w:rFonts w:ascii="Calibri" w:eastAsia="Calibri" w:hAnsi="Calibri" w:cs="Calibri"/>
                <w:smallCaps/>
                <w:color w:val="000000"/>
                <w:sz w:val="20"/>
                <w:szCs w:val="20"/>
              </w:rPr>
              <w:t>CREDIT TRANSFERS</w:t>
            </w:r>
            <w:r>
              <w:rPr>
                <w:rFonts w:ascii="Calibri" w:eastAsia="Calibri" w:hAnsi="Calibri" w:cs="Calibri"/>
                <w:smallCaps/>
                <w:color w:val="000000"/>
                <w:sz w:val="20"/>
                <w:szCs w:val="20"/>
              </w:rPr>
              <w:tab/>
              <w:t>3</w:t>
            </w:r>
            <w:r w:rsidR="008D3FB8">
              <w:rPr>
                <w:rFonts w:ascii="Calibri" w:eastAsia="Calibri" w:hAnsi="Calibri" w:cs="Calibri"/>
                <w:smallCaps/>
                <w:color w:val="000000"/>
                <w:sz w:val="20"/>
                <w:szCs w:val="20"/>
              </w:rPr>
              <w:t>6</w:t>
            </w:r>
          </w:hyperlink>
        </w:p>
        <w:p w14:paraId="24EFDC59" w14:textId="2D54AAFB"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2grqrue">
            <w:r>
              <w:rPr>
                <w:rFonts w:ascii="Calibri" w:eastAsia="Calibri" w:hAnsi="Calibri" w:cs="Calibri"/>
                <w:smallCaps/>
                <w:color w:val="000000"/>
                <w:sz w:val="20"/>
                <w:szCs w:val="20"/>
              </w:rPr>
              <w:t>CHALLENGE EXAM POLICY &amp; PROCEDURE (MPH and MHA ONLY)</w:t>
            </w:r>
            <w:r>
              <w:rPr>
                <w:rFonts w:ascii="Calibri" w:eastAsia="Calibri" w:hAnsi="Calibri" w:cs="Calibri"/>
                <w:smallCaps/>
                <w:color w:val="000000"/>
                <w:sz w:val="20"/>
                <w:szCs w:val="20"/>
              </w:rPr>
              <w:tab/>
              <w:t>3</w:t>
            </w:r>
            <w:r w:rsidR="008D3FB8">
              <w:rPr>
                <w:rFonts w:ascii="Calibri" w:eastAsia="Calibri" w:hAnsi="Calibri" w:cs="Calibri"/>
                <w:smallCaps/>
                <w:color w:val="000000"/>
                <w:sz w:val="20"/>
                <w:szCs w:val="20"/>
              </w:rPr>
              <w:t>6</w:t>
            </w:r>
          </w:hyperlink>
        </w:p>
        <w:p w14:paraId="24EFDC5A" w14:textId="658A7512"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ei16hlf9huk1">
            <w:r>
              <w:rPr>
                <w:rFonts w:ascii="Calibri" w:eastAsia="Calibri" w:hAnsi="Calibri" w:cs="Calibri"/>
                <w:smallCaps/>
                <w:color w:val="000000"/>
                <w:sz w:val="20"/>
                <w:szCs w:val="20"/>
              </w:rPr>
              <w:t>TIME LIMITS</w:t>
            </w:r>
            <w:r>
              <w:rPr>
                <w:rFonts w:ascii="Calibri" w:eastAsia="Calibri" w:hAnsi="Calibri" w:cs="Calibri"/>
                <w:smallCaps/>
                <w:color w:val="000000"/>
                <w:sz w:val="20"/>
                <w:szCs w:val="20"/>
              </w:rPr>
              <w:tab/>
              <w:t>3</w:t>
            </w:r>
            <w:r w:rsidR="008D3FB8">
              <w:rPr>
                <w:rFonts w:ascii="Calibri" w:eastAsia="Calibri" w:hAnsi="Calibri" w:cs="Calibri"/>
                <w:smallCaps/>
                <w:color w:val="000000"/>
                <w:sz w:val="20"/>
                <w:szCs w:val="20"/>
              </w:rPr>
              <w:t>7</w:t>
            </w:r>
          </w:hyperlink>
        </w:p>
        <w:p w14:paraId="24EFDC5B" w14:textId="7DE799A7"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lryu26pcpidj">
            <w:r>
              <w:rPr>
                <w:rFonts w:ascii="Calibri" w:eastAsia="Calibri" w:hAnsi="Calibri" w:cs="Calibri"/>
                <w:smallCaps/>
                <w:color w:val="000000"/>
                <w:sz w:val="20"/>
                <w:szCs w:val="20"/>
              </w:rPr>
              <w:t>GRADUATION</w:t>
            </w:r>
            <w:r>
              <w:rPr>
                <w:rFonts w:ascii="Calibri" w:eastAsia="Calibri" w:hAnsi="Calibri" w:cs="Calibri"/>
                <w:smallCaps/>
                <w:color w:val="000000"/>
                <w:sz w:val="20"/>
                <w:szCs w:val="20"/>
              </w:rPr>
              <w:tab/>
              <w:t>3</w:t>
            </w:r>
            <w:r w:rsidR="008D3FB8">
              <w:rPr>
                <w:rFonts w:ascii="Calibri" w:eastAsia="Calibri" w:hAnsi="Calibri" w:cs="Calibri"/>
                <w:smallCaps/>
                <w:color w:val="000000"/>
                <w:sz w:val="20"/>
                <w:szCs w:val="20"/>
              </w:rPr>
              <w:t>7</w:t>
            </w:r>
          </w:hyperlink>
        </w:p>
        <w:p w14:paraId="24EFDC5C" w14:textId="1BB9DFA9"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47j3lggn1u2j">
            <w:r>
              <w:rPr>
                <w:rFonts w:ascii="Calibri" w:eastAsia="Calibri" w:hAnsi="Calibri" w:cs="Calibri"/>
                <w:smallCaps/>
                <w:color w:val="000000"/>
                <w:sz w:val="20"/>
                <w:szCs w:val="20"/>
              </w:rPr>
              <w:t>GENERAL INQUIRIES</w:t>
            </w:r>
            <w:r>
              <w:rPr>
                <w:rFonts w:ascii="Calibri" w:eastAsia="Calibri" w:hAnsi="Calibri" w:cs="Calibri"/>
                <w:smallCaps/>
                <w:color w:val="000000"/>
                <w:sz w:val="20"/>
                <w:szCs w:val="20"/>
              </w:rPr>
              <w:tab/>
              <w:t>3</w:t>
            </w:r>
            <w:r w:rsidR="008D3FB8">
              <w:rPr>
                <w:rFonts w:ascii="Calibri" w:eastAsia="Calibri" w:hAnsi="Calibri" w:cs="Calibri"/>
                <w:smallCaps/>
                <w:color w:val="000000"/>
                <w:sz w:val="20"/>
                <w:szCs w:val="20"/>
              </w:rPr>
              <w:t>7</w:t>
            </w:r>
          </w:hyperlink>
        </w:p>
        <w:p w14:paraId="24EFDC5D" w14:textId="7C72A1CF"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2ie2pbjfyq24">
            <w:r>
              <w:rPr>
                <w:rFonts w:ascii="Calibri" w:eastAsia="Calibri" w:hAnsi="Calibri" w:cs="Calibri"/>
                <w:smallCaps/>
                <w:color w:val="000000"/>
                <w:sz w:val="20"/>
                <w:szCs w:val="20"/>
              </w:rPr>
              <w:t>FORMAL GRIEVANCES</w:t>
            </w:r>
            <w:r>
              <w:rPr>
                <w:rFonts w:ascii="Calibri" w:eastAsia="Calibri" w:hAnsi="Calibri" w:cs="Calibri"/>
                <w:smallCaps/>
                <w:color w:val="000000"/>
                <w:sz w:val="20"/>
                <w:szCs w:val="20"/>
              </w:rPr>
              <w:tab/>
              <w:t>3</w:t>
            </w:r>
            <w:r w:rsidR="008D3FB8">
              <w:rPr>
                <w:rFonts w:ascii="Calibri" w:eastAsia="Calibri" w:hAnsi="Calibri" w:cs="Calibri"/>
                <w:smallCaps/>
                <w:color w:val="000000"/>
                <w:sz w:val="20"/>
                <w:szCs w:val="20"/>
              </w:rPr>
              <w:t>8</w:t>
            </w:r>
          </w:hyperlink>
        </w:p>
        <w:p w14:paraId="24EFDC5E" w14:textId="794254C0"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bpdo0mnwahaa">
            <w:r>
              <w:rPr>
                <w:rFonts w:ascii="Calibri" w:eastAsia="Calibri" w:hAnsi="Calibri" w:cs="Calibri"/>
                <w:smallCaps/>
                <w:color w:val="000000"/>
                <w:sz w:val="20"/>
                <w:szCs w:val="20"/>
              </w:rPr>
              <w:t>ACADEMIC INTEGRITY</w:t>
            </w:r>
            <w:r>
              <w:rPr>
                <w:rFonts w:ascii="Calibri" w:eastAsia="Calibri" w:hAnsi="Calibri" w:cs="Calibri"/>
                <w:smallCaps/>
                <w:color w:val="000000"/>
                <w:sz w:val="20"/>
                <w:szCs w:val="20"/>
              </w:rPr>
              <w:tab/>
              <w:t>3</w:t>
            </w:r>
            <w:r w:rsidR="008D3FB8">
              <w:rPr>
                <w:rFonts w:ascii="Calibri" w:eastAsia="Calibri" w:hAnsi="Calibri" w:cs="Calibri"/>
                <w:smallCaps/>
                <w:color w:val="000000"/>
                <w:sz w:val="20"/>
                <w:szCs w:val="20"/>
              </w:rPr>
              <w:t>8</w:t>
            </w:r>
          </w:hyperlink>
        </w:p>
        <w:p w14:paraId="24EFDC5F" w14:textId="041E99B4"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5odofboj77v6">
            <w:r>
              <w:rPr>
                <w:rFonts w:ascii="Calibri" w:eastAsia="Calibri" w:hAnsi="Calibri" w:cs="Calibri"/>
                <w:smallCaps/>
                <w:color w:val="000000"/>
                <w:sz w:val="20"/>
                <w:szCs w:val="20"/>
              </w:rPr>
              <w:t>STUDENT CONDUCT</w:t>
            </w:r>
            <w:r>
              <w:rPr>
                <w:rFonts w:ascii="Calibri" w:eastAsia="Calibri" w:hAnsi="Calibri" w:cs="Calibri"/>
                <w:smallCaps/>
                <w:color w:val="000000"/>
                <w:sz w:val="20"/>
                <w:szCs w:val="20"/>
              </w:rPr>
              <w:tab/>
              <w:t>4</w:t>
            </w:r>
            <w:r w:rsidR="008D3FB8">
              <w:rPr>
                <w:rFonts w:ascii="Calibri" w:eastAsia="Calibri" w:hAnsi="Calibri" w:cs="Calibri"/>
                <w:smallCaps/>
                <w:color w:val="000000"/>
                <w:sz w:val="20"/>
                <w:szCs w:val="20"/>
              </w:rPr>
              <w:t>5</w:t>
            </w:r>
          </w:hyperlink>
        </w:p>
        <w:p w14:paraId="24EFDC60" w14:textId="5338000E"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baxnuq6ag2jn">
            <w:r>
              <w:rPr>
                <w:rFonts w:ascii="Calibri" w:eastAsia="Calibri" w:hAnsi="Calibri" w:cs="Calibri"/>
                <w:smallCaps/>
                <w:color w:val="000000"/>
                <w:sz w:val="20"/>
                <w:szCs w:val="20"/>
              </w:rPr>
              <w:t>ATTENDANCE REQUIREMENTS</w:t>
            </w:r>
            <w:r>
              <w:rPr>
                <w:rFonts w:ascii="Calibri" w:eastAsia="Calibri" w:hAnsi="Calibri" w:cs="Calibri"/>
                <w:smallCaps/>
                <w:color w:val="000000"/>
                <w:sz w:val="20"/>
                <w:szCs w:val="20"/>
              </w:rPr>
              <w:tab/>
              <w:t>4</w:t>
            </w:r>
            <w:r w:rsidR="008D3FB8">
              <w:rPr>
                <w:rFonts w:ascii="Calibri" w:eastAsia="Calibri" w:hAnsi="Calibri" w:cs="Calibri"/>
                <w:smallCaps/>
                <w:color w:val="000000"/>
                <w:sz w:val="20"/>
                <w:szCs w:val="20"/>
              </w:rPr>
              <w:t>5</w:t>
            </w:r>
          </w:hyperlink>
        </w:p>
        <w:p w14:paraId="24EFDC61" w14:textId="553BFE69"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1uysnjlp6iol">
            <w:r>
              <w:rPr>
                <w:rFonts w:ascii="Calibri" w:eastAsia="Calibri" w:hAnsi="Calibri" w:cs="Calibri"/>
                <w:smallCaps/>
                <w:color w:val="000000"/>
                <w:sz w:val="20"/>
                <w:szCs w:val="20"/>
              </w:rPr>
              <w:t>HEALTH SCIENCES COMPLIANCE</w:t>
            </w:r>
            <w:r>
              <w:rPr>
                <w:rFonts w:ascii="Calibri" w:eastAsia="Calibri" w:hAnsi="Calibri" w:cs="Calibri"/>
                <w:smallCaps/>
                <w:color w:val="000000"/>
                <w:sz w:val="20"/>
                <w:szCs w:val="20"/>
              </w:rPr>
              <w:tab/>
              <w:t>4</w:t>
            </w:r>
            <w:r w:rsidR="008D3FB8">
              <w:rPr>
                <w:rFonts w:ascii="Calibri" w:eastAsia="Calibri" w:hAnsi="Calibri" w:cs="Calibri"/>
                <w:smallCaps/>
                <w:color w:val="000000"/>
                <w:sz w:val="20"/>
                <w:szCs w:val="20"/>
              </w:rPr>
              <w:t>5</w:t>
            </w:r>
          </w:hyperlink>
        </w:p>
        <w:p w14:paraId="24EFDC62" w14:textId="6BD75E44"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48tphjxp6tpn">
            <w:r>
              <w:rPr>
                <w:rFonts w:ascii="Calibri" w:eastAsia="Calibri" w:hAnsi="Calibri" w:cs="Calibri"/>
                <w:smallCaps/>
                <w:color w:val="000000"/>
                <w:sz w:val="20"/>
                <w:szCs w:val="20"/>
              </w:rPr>
              <w:t>HIPAA TRAINING AND PROTECTION OF HUMAN SUBJECTS TRAINING</w:t>
            </w:r>
            <w:r>
              <w:rPr>
                <w:rFonts w:ascii="Calibri" w:eastAsia="Calibri" w:hAnsi="Calibri" w:cs="Calibri"/>
                <w:smallCaps/>
                <w:color w:val="000000"/>
                <w:sz w:val="20"/>
                <w:szCs w:val="20"/>
              </w:rPr>
              <w:tab/>
              <w:t>4</w:t>
            </w:r>
            <w:r w:rsidR="008D3FB8">
              <w:rPr>
                <w:rFonts w:ascii="Calibri" w:eastAsia="Calibri" w:hAnsi="Calibri" w:cs="Calibri"/>
                <w:smallCaps/>
                <w:color w:val="000000"/>
                <w:sz w:val="20"/>
                <w:szCs w:val="20"/>
              </w:rPr>
              <w:t>5</w:t>
            </w:r>
          </w:hyperlink>
        </w:p>
        <w:p w14:paraId="24EFDC63" w14:textId="327FD0ED"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9i65yqhhvdap">
            <w:r>
              <w:rPr>
                <w:rFonts w:ascii="Calibri" w:eastAsia="Calibri" w:hAnsi="Calibri" w:cs="Calibri"/>
                <w:smallCaps/>
                <w:color w:val="000000"/>
                <w:sz w:val="20"/>
                <w:szCs w:val="20"/>
              </w:rPr>
              <w:t>STUDENT BACKGROUND CHECKS</w:t>
            </w:r>
            <w:r>
              <w:rPr>
                <w:rFonts w:ascii="Calibri" w:eastAsia="Calibri" w:hAnsi="Calibri" w:cs="Calibri"/>
                <w:smallCaps/>
                <w:color w:val="000000"/>
                <w:sz w:val="20"/>
                <w:szCs w:val="20"/>
              </w:rPr>
              <w:tab/>
              <w:t>4</w:t>
            </w:r>
            <w:r w:rsidR="008D3FB8">
              <w:rPr>
                <w:rFonts w:ascii="Calibri" w:eastAsia="Calibri" w:hAnsi="Calibri" w:cs="Calibri"/>
                <w:smallCaps/>
                <w:color w:val="000000"/>
                <w:sz w:val="20"/>
                <w:szCs w:val="20"/>
              </w:rPr>
              <w:t>5</w:t>
            </w:r>
          </w:hyperlink>
        </w:p>
        <w:p w14:paraId="24EFDC64" w14:textId="6A273B59"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qrspj9u17osb">
            <w:r>
              <w:rPr>
                <w:rFonts w:ascii="Calibri" w:eastAsia="Calibri" w:hAnsi="Calibri" w:cs="Calibri"/>
                <w:smallCaps/>
                <w:color w:val="000000"/>
                <w:sz w:val="20"/>
                <w:szCs w:val="20"/>
              </w:rPr>
              <w:t>NON-MATRICULATED STUDENTS</w:t>
            </w:r>
            <w:r>
              <w:rPr>
                <w:rFonts w:ascii="Calibri" w:eastAsia="Calibri" w:hAnsi="Calibri" w:cs="Calibri"/>
                <w:smallCaps/>
                <w:color w:val="000000"/>
                <w:sz w:val="20"/>
                <w:szCs w:val="20"/>
              </w:rPr>
              <w:tab/>
              <w:t>4</w:t>
            </w:r>
            <w:r w:rsidR="008D3FB8">
              <w:rPr>
                <w:rFonts w:ascii="Calibri" w:eastAsia="Calibri" w:hAnsi="Calibri" w:cs="Calibri"/>
                <w:smallCaps/>
                <w:color w:val="000000"/>
                <w:sz w:val="20"/>
                <w:szCs w:val="20"/>
              </w:rPr>
              <w:t>6</w:t>
            </w:r>
          </w:hyperlink>
        </w:p>
        <w:p w14:paraId="24EFDC65" w14:textId="2E2F68D6"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8pcie7nld824">
            <w:r>
              <w:rPr>
                <w:rFonts w:ascii="Calibri" w:eastAsia="Calibri" w:hAnsi="Calibri" w:cs="Calibri"/>
                <w:smallCaps/>
                <w:color w:val="000000"/>
                <w:sz w:val="20"/>
                <w:szCs w:val="20"/>
              </w:rPr>
              <w:t>SEXUAL HARASSMENT POLICY</w:t>
            </w:r>
            <w:r>
              <w:rPr>
                <w:rFonts w:ascii="Calibri" w:eastAsia="Calibri" w:hAnsi="Calibri" w:cs="Calibri"/>
                <w:smallCaps/>
                <w:color w:val="000000"/>
                <w:sz w:val="20"/>
                <w:szCs w:val="20"/>
              </w:rPr>
              <w:tab/>
              <w:t>4</w:t>
            </w:r>
            <w:r w:rsidR="008D3FB8">
              <w:rPr>
                <w:rFonts w:ascii="Calibri" w:eastAsia="Calibri" w:hAnsi="Calibri" w:cs="Calibri"/>
                <w:smallCaps/>
                <w:color w:val="000000"/>
                <w:sz w:val="20"/>
                <w:szCs w:val="20"/>
              </w:rPr>
              <w:t>6</w:t>
            </w:r>
          </w:hyperlink>
        </w:p>
        <w:p w14:paraId="24EFDC66" w14:textId="7BF05F7E"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ofks4h8euja7">
            <w:r>
              <w:rPr>
                <w:rFonts w:ascii="Calibri" w:eastAsia="Calibri" w:hAnsi="Calibri" w:cs="Calibri"/>
                <w:smallCaps/>
                <w:color w:val="000000"/>
                <w:sz w:val="20"/>
                <w:szCs w:val="20"/>
              </w:rPr>
              <w:t>DIVERSITY, EQUITY AND INCLUSIVENESS</w:t>
            </w:r>
            <w:r>
              <w:rPr>
                <w:rFonts w:ascii="Calibri" w:eastAsia="Calibri" w:hAnsi="Calibri" w:cs="Calibri"/>
                <w:smallCaps/>
                <w:color w:val="000000"/>
                <w:sz w:val="20"/>
                <w:szCs w:val="20"/>
              </w:rPr>
              <w:tab/>
              <w:t>4</w:t>
            </w:r>
            <w:r w:rsidR="008D3FB8">
              <w:rPr>
                <w:rFonts w:ascii="Calibri" w:eastAsia="Calibri" w:hAnsi="Calibri" w:cs="Calibri"/>
                <w:smallCaps/>
                <w:color w:val="000000"/>
                <w:sz w:val="20"/>
                <w:szCs w:val="20"/>
              </w:rPr>
              <w:t>6</w:t>
            </w:r>
          </w:hyperlink>
        </w:p>
        <w:p w14:paraId="24EFDC67" w14:textId="58A015D7"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k3a8jndkeakb">
            <w:r>
              <w:rPr>
                <w:rFonts w:ascii="Calibri" w:eastAsia="Calibri" w:hAnsi="Calibri" w:cs="Calibri"/>
                <w:smallCaps/>
                <w:color w:val="000000"/>
                <w:sz w:val="20"/>
                <w:szCs w:val="20"/>
              </w:rPr>
              <w:t>CAMPUS SAFETY</w:t>
            </w:r>
            <w:r>
              <w:rPr>
                <w:rFonts w:ascii="Calibri" w:eastAsia="Calibri" w:hAnsi="Calibri" w:cs="Calibri"/>
                <w:smallCaps/>
                <w:color w:val="000000"/>
                <w:sz w:val="20"/>
                <w:szCs w:val="20"/>
              </w:rPr>
              <w:tab/>
              <w:t>4</w:t>
            </w:r>
            <w:r w:rsidR="008D3FB8">
              <w:rPr>
                <w:rFonts w:ascii="Calibri" w:eastAsia="Calibri" w:hAnsi="Calibri" w:cs="Calibri"/>
                <w:smallCaps/>
                <w:color w:val="000000"/>
                <w:sz w:val="20"/>
                <w:szCs w:val="20"/>
              </w:rPr>
              <w:t>7</w:t>
            </w:r>
          </w:hyperlink>
        </w:p>
        <w:p w14:paraId="24EFDC68" w14:textId="1EA338EB"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69vurg41zei">
            <w:r>
              <w:rPr>
                <w:rFonts w:ascii="Calibri" w:eastAsia="Calibri" w:hAnsi="Calibri" w:cs="Calibri"/>
                <w:smallCaps/>
                <w:color w:val="000000"/>
                <w:sz w:val="20"/>
                <w:szCs w:val="20"/>
              </w:rPr>
              <w:t>STUDENT HEALTH POLICIES &amp; RESOURCES</w:t>
            </w:r>
            <w:r>
              <w:rPr>
                <w:rFonts w:ascii="Calibri" w:eastAsia="Calibri" w:hAnsi="Calibri" w:cs="Calibri"/>
                <w:smallCaps/>
                <w:color w:val="000000"/>
                <w:sz w:val="20"/>
                <w:szCs w:val="20"/>
              </w:rPr>
              <w:tab/>
              <w:t>4</w:t>
            </w:r>
            <w:r w:rsidR="008D3FB8">
              <w:rPr>
                <w:rFonts w:ascii="Calibri" w:eastAsia="Calibri" w:hAnsi="Calibri" w:cs="Calibri"/>
                <w:smallCaps/>
                <w:color w:val="000000"/>
                <w:sz w:val="20"/>
                <w:szCs w:val="20"/>
              </w:rPr>
              <w:t>8</w:t>
            </w:r>
          </w:hyperlink>
        </w:p>
        <w:p w14:paraId="24EFDC69" w14:textId="73CF76F3"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tvrchjjm7y9e">
            <w:r>
              <w:rPr>
                <w:rFonts w:ascii="Calibri" w:eastAsia="Calibri" w:hAnsi="Calibri" w:cs="Calibri"/>
                <w:smallCaps/>
                <w:color w:val="000000"/>
                <w:sz w:val="20"/>
                <w:szCs w:val="20"/>
              </w:rPr>
              <w:t>AMERICANS WITH DISABILITIES ACT</w:t>
            </w:r>
            <w:r>
              <w:rPr>
                <w:rFonts w:ascii="Calibri" w:eastAsia="Calibri" w:hAnsi="Calibri" w:cs="Calibri"/>
                <w:smallCaps/>
                <w:color w:val="000000"/>
                <w:sz w:val="20"/>
                <w:szCs w:val="20"/>
              </w:rPr>
              <w:tab/>
              <w:t>4</w:t>
            </w:r>
            <w:r w:rsidR="008D3FB8">
              <w:rPr>
                <w:rFonts w:ascii="Calibri" w:eastAsia="Calibri" w:hAnsi="Calibri" w:cs="Calibri"/>
                <w:smallCaps/>
                <w:color w:val="000000"/>
                <w:sz w:val="20"/>
                <w:szCs w:val="20"/>
              </w:rPr>
              <w:t>9</w:t>
            </w:r>
          </w:hyperlink>
        </w:p>
        <w:p w14:paraId="24EFDC6A" w14:textId="74E45C03"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ertkweoy7j08">
            <w:r>
              <w:rPr>
                <w:rFonts w:ascii="Calibri" w:eastAsia="Calibri" w:hAnsi="Calibri" w:cs="Calibri"/>
                <w:smallCaps/>
                <w:color w:val="000000"/>
                <w:sz w:val="20"/>
                <w:szCs w:val="20"/>
              </w:rPr>
              <w:t>FINANCIAL AID AND TUITION ASSISTANCE</w:t>
            </w:r>
            <w:r>
              <w:rPr>
                <w:rFonts w:ascii="Calibri" w:eastAsia="Calibri" w:hAnsi="Calibri" w:cs="Calibri"/>
                <w:smallCaps/>
                <w:color w:val="000000"/>
                <w:sz w:val="20"/>
                <w:szCs w:val="20"/>
              </w:rPr>
              <w:tab/>
              <w:t>4</w:t>
            </w:r>
            <w:r w:rsidR="008D3FB8">
              <w:rPr>
                <w:rFonts w:ascii="Calibri" w:eastAsia="Calibri" w:hAnsi="Calibri" w:cs="Calibri"/>
                <w:smallCaps/>
                <w:color w:val="000000"/>
                <w:sz w:val="20"/>
                <w:szCs w:val="20"/>
              </w:rPr>
              <w:t>9</w:t>
            </w:r>
          </w:hyperlink>
        </w:p>
        <w:p w14:paraId="24EFDC6B" w14:textId="77777777" w:rsidR="00D81755" w:rsidRDefault="0073296A">
          <w:r>
            <w:fldChar w:fldCharType="end"/>
          </w:r>
        </w:p>
      </w:sdtContent>
    </w:sdt>
    <w:p w14:paraId="61C6F1BA" w14:textId="77777777" w:rsidR="005721FF" w:rsidRDefault="005721FF">
      <w:pPr>
        <w:pStyle w:val="Heading1"/>
      </w:pPr>
      <w:bookmarkStart w:id="0" w:name="_heading=h.v9ylh795voia" w:colFirst="0" w:colLast="0"/>
      <w:bookmarkEnd w:id="0"/>
    </w:p>
    <w:p w14:paraId="546FB1DB" w14:textId="77777777" w:rsidR="005721FF" w:rsidRDefault="005721FF" w:rsidP="005721FF"/>
    <w:p w14:paraId="11E75911" w14:textId="77777777" w:rsidR="005721FF" w:rsidRDefault="005721FF" w:rsidP="005721FF"/>
    <w:p w14:paraId="76D66BA7" w14:textId="77777777" w:rsidR="005721FF" w:rsidRDefault="005721FF" w:rsidP="005721FF"/>
    <w:p w14:paraId="0DFEE4F8" w14:textId="77777777" w:rsidR="005721FF" w:rsidRDefault="005721FF" w:rsidP="005721FF"/>
    <w:p w14:paraId="29BCA8A3" w14:textId="77777777" w:rsidR="005721FF" w:rsidRDefault="005721FF" w:rsidP="005721FF"/>
    <w:p w14:paraId="61D92576" w14:textId="77777777" w:rsidR="005721FF" w:rsidRDefault="005721FF" w:rsidP="005721FF"/>
    <w:p w14:paraId="3C0D88A0" w14:textId="3F38EC83" w:rsidR="005721FF" w:rsidRDefault="005721FF" w:rsidP="005721FF">
      <w:r>
        <w:br/>
      </w:r>
      <w:r>
        <w:br/>
      </w:r>
      <w:r>
        <w:br/>
      </w:r>
      <w:r>
        <w:br/>
      </w:r>
      <w:r>
        <w:br/>
      </w:r>
      <w:r>
        <w:br/>
      </w:r>
      <w:r>
        <w:br/>
      </w:r>
      <w:r>
        <w:br/>
      </w:r>
      <w:r>
        <w:br/>
      </w:r>
    </w:p>
    <w:p w14:paraId="02DD6DE2" w14:textId="707A065A" w:rsidR="005721FF" w:rsidRDefault="005721FF" w:rsidP="005721FF">
      <w:r>
        <w:br/>
      </w:r>
      <w:r>
        <w:br/>
      </w:r>
    </w:p>
    <w:p w14:paraId="09DB30B1" w14:textId="77777777" w:rsidR="005721FF" w:rsidRDefault="005721FF" w:rsidP="005721FF"/>
    <w:p w14:paraId="2B887C09" w14:textId="77777777" w:rsidR="005721FF" w:rsidRDefault="005721FF" w:rsidP="005721FF"/>
    <w:p w14:paraId="7C2B58C3" w14:textId="77777777" w:rsidR="005721FF" w:rsidRDefault="005721FF" w:rsidP="005721FF"/>
    <w:p w14:paraId="60B668F4" w14:textId="77777777" w:rsidR="005721FF" w:rsidRPr="005721FF" w:rsidRDefault="005721FF" w:rsidP="005721FF"/>
    <w:p w14:paraId="24EFDC6C" w14:textId="55227198" w:rsidR="00D81755" w:rsidRDefault="0073296A">
      <w:pPr>
        <w:pStyle w:val="Heading1"/>
      </w:pPr>
      <w:r>
        <w:t xml:space="preserve">PROGRAM IN PUBLIC HEALTH </w:t>
      </w:r>
    </w:p>
    <w:p w14:paraId="24EFDC6D" w14:textId="77777777" w:rsidR="00D81755" w:rsidRDefault="0073296A">
      <w:pPr>
        <w:spacing w:after="240"/>
        <w:rPr>
          <w:sz w:val="20"/>
          <w:szCs w:val="20"/>
        </w:rPr>
      </w:pPr>
      <w:r>
        <w:rPr>
          <w:sz w:val="20"/>
          <w:szCs w:val="20"/>
        </w:rPr>
        <w:t xml:space="preserve">Thank you for your interest in the Program in Public Health (PPH) at Stony Brook University. We are committed to ensuring that the educational experience of our students is intellectually challenging and provides the skills needed to contribute to health and healthcare improvements through excellence in research and/or as part of the public health and/or health care administration workforce. We are very proud of the graduate programs that we offer and the quality of students who train with us, the scholarly work we produce to promote innovations and best practices, the impact of our research on evidence-based practice and decision-making to improve the health of populations, and the contributions of our network of alumni. Our faculty and staff work tirelessly in collaboration with the broader University community and beyond to deliver on our commitment to excellence in teaching, research and service. We have a positive and sustained impact on the professional lives of our students. Together we promote access to resources for optimum health and well-being for all locally, regionally, nationally, and globally. </w:t>
      </w:r>
    </w:p>
    <w:p w14:paraId="24EFDC6E" w14:textId="77777777" w:rsidR="00D81755" w:rsidRDefault="0073296A">
      <w:pPr>
        <w:spacing w:after="240"/>
        <w:rPr>
          <w:sz w:val="20"/>
          <w:szCs w:val="20"/>
        </w:rPr>
      </w:pPr>
      <w:r>
        <w:rPr>
          <w:sz w:val="20"/>
          <w:szCs w:val="20"/>
        </w:rPr>
        <w:t>This year the PPH turns a page on its first 21 years as an academic unit at Stony Brook University, having welcomed the first cohort of students in 2004. This is an exciting time for PPH. When I started as Director in 2012, the Program offered one degree (the Master of Public Health, MPH) and we had a small community (about 25 students, and about 10 full-time faculty and staff). We now have a thriving community of over 223 students and 30+ full-time faculty and staff, including expanded course offerings available to all students as well as new concentrations and dual degrees for MD, MSW, MBA, MA-Public Policy, MS-Nutrition, DDS concurrent, and BA/BS in Women and Gender Studies, Applied Mathematics, and Marine/Atmospheric Sciences. We also offer several degrees in addition to the MPH including the Master of Health Administration (MHA), the PhD in Population Health and in Clinical Outcomes Research, the MS in Epidemiology and Clinical Outcomes Research, and our Advanced Graduate Certificate in Health Education and Promotion and in Aging Populations and Healthcare Administration. We promote a culture of collaboration and research, and inter-professional learning opportunities built into curricula, community engagement, and/or scholarship activities.</w:t>
      </w:r>
    </w:p>
    <w:p w14:paraId="24EFDC6F" w14:textId="77777777" w:rsidR="00D81755" w:rsidRDefault="0073296A">
      <w:pPr>
        <w:spacing w:after="240"/>
        <w:rPr>
          <w:sz w:val="20"/>
          <w:szCs w:val="20"/>
        </w:rPr>
      </w:pPr>
      <w:r>
        <w:rPr>
          <w:sz w:val="20"/>
          <w:szCs w:val="20"/>
        </w:rPr>
        <w:t xml:space="preserve">The MPH is accredited (since 2008) by the Council on Education for Public Health (CEPH), the only accrediting body for public health programs and schools in the United States. CEPH is recognized by the U.S. Department of Education, to accredit and assure that a school or program has met accepted standards established by and with the public health profession. In addition, the PPH is a founding member of the Association of Schools and Programs of Public Health (ASPPH).  I am proud to currently serve on the Board of Directors of ASPPH, elected in 2021 by </w:t>
      </w:r>
      <w:proofErr w:type="gramStart"/>
      <w:r>
        <w:rPr>
          <w:sz w:val="20"/>
          <w:szCs w:val="20"/>
        </w:rPr>
        <w:t>the membership</w:t>
      </w:r>
      <w:proofErr w:type="gramEnd"/>
      <w:r>
        <w:rPr>
          <w:sz w:val="20"/>
          <w:szCs w:val="20"/>
        </w:rPr>
        <w:t xml:space="preserve"> and re-elected in 2024 as a public health program representative. I also serve as Chair of the ASPPH’s Accreditation Advisory Council for ASPPH members. ASPPH is the voice of academic public health among CEPH-accredited schools and programs. </w:t>
      </w:r>
    </w:p>
    <w:p w14:paraId="24EFDC70" w14:textId="77777777" w:rsidR="00D81755" w:rsidRDefault="0073296A">
      <w:pPr>
        <w:spacing w:after="240"/>
        <w:rPr>
          <w:sz w:val="20"/>
          <w:szCs w:val="20"/>
        </w:rPr>
      </w:pPr>
      <w:r>
        <w:rPr>
          <w:sz w:val="20"/>
          <w:szCs w:val="20"/>
        </w:rPr>
        <w:t xml:space="preserve">The Master of Health Administration (MHA) Program is accredited by the Commission on Accreditation Healthcare Management Education (CAHME) and is the only </w:t>
      </w:r>
      <w:r>
        <w:rPr>
          <w:rFonts w:ascii="Calibri" w:eastAsia="Calibri" w:hAnsi="Calibri" w:cs="Calibri"/>
          <w:sz w:val="20"/>
          <w:szCs w:val="20"/>
        </w:rPr>
        <w:t xml:space="preserve">nationally accredited </w:t>
      </w:r>
      <w:r>
        <w:rPr>
          <w:sz w:val="20"/>
          <w:szCs w:val="20"/>
        </w:rPr>
        <w:t>MHA program offered by a SUNY campus at this time. The MHA Program is a participant in the American College of Healthcare Executives (ACHE) Higher Education Network (HEN). The MHA Program also is an active member of The Association of University Programs in Health Administration (AUPHA). In 2025, the MHA received the maximum years possible for re-accreditation, an 8-year period, providing additional indication that the program is meeting standards of excellence and is a strong curriculum.</w:t>
      </w:r>
    </w:p>
    <w:p w14:paraId="24EFDC71" w14:textId="77777777" w:rsidR="00D81755" w:rsidRDefault="0073296A">
      <w:pPr>
        <w:spacing w:after="240"/>
        <w:rPr>
          <w:sz w:val="20"/>
          <w:szCs w:val="20"/>
        </w:rPr>
      </w:pPr>
      <w:r>
        <w:rPr>
          <w:sz w:val="20"/>
          <w:szCs w:val="20"/>
        </w:rPr>
        <w:t xml:space="preserve">The Doctor of Philosophy (PhD) in either (1) Population Health or (2) Clinical Outcomes Research, and the Master of Science (MS) in Epidemiology and Clinical Research are both mentor-matched research training programs for individuals seeking a career as a scientist in these fields of inquiry. PPH faculty in population health studies and collaborating clinician scientists at Stony Brook Medicine provide </w:t>
      </w:r>
      <w:proofErr w:type="gramStart"/>
      <w:r>
        <w:rPr>
          <w:sz w:val="20"/>
          <w:szCs w:val="20"/>
        </w:rPr>
        <w:t>a mentored</w:t>
      </w:r>
      <w:proofErr w:type="gramEnd"/>
      <w:r>
        <w:rPr>
          <w:sz w:val="20"/>
          <w:szCs w:val="20"/>
        </w:rPr>
        <w:t xml:space="preserve"> research training experience and coursework leading to the design, conduct and successful defense of a dissertation project (PhD) or research practicum (MS). We also continue to offer an advanced graduate certificate in Health Education and Health Promotion that is intended to support the public health workforce dedicated to educational strategies.</w:t>
      </w:r>
    </w:p>
    <w:p w14:paraId="24EFDC72" w14:textId="77777777" w:rsidR="00D81755" w:rsidRDefault="0073296A">
      <w:pPr>
        <w:spacing w:after="240"/>
        <w:rPr>
          <w:sz w:val="20"/>
          <w:szCs w:val="20"/>
        </w:rPr>
      </w:pPr>
      <w:r>
        <w:rPr>
          <w:sz w:val="20"/>
          <w:szCs w:val="20"/>
        </w:rPr>
        <w:t xml:space="preserve">The PPH </w:t>
      </w:r>
      <w:proofErr w:type="gramStart"/>
      <w:r>
        <w:rPr>
          <w:sz w:val="20"/>
          <w:szCs w:val="20"/>
        </w:rPr>
        <w:t>is located in</w:t>
      </w:r>
      <w:proofErr w:type="gramEnd"/>
      <w:r>
        <w:rPr>
          <w:sz w:val="20"/>
          <w:szCs w:val="20"/>
        </w:rPr>
        <w:t xml:space="preserve"> the Stony Brook University Health Sciences Center at Stony Brook Medicine, the only academic health sciences center on Long Island. The Health Sciences Center includes the Schools of Medicine, Nursing, Dental Medicine, Social Welfare, and Health Professions, in addition to the Stony Brook University Hospital and Health System. Together, we generate collaborative research and practice-based innovations that have contributed to an improved quality of life for many individuals and communities. Stony Brook Medicine also is a partner in scientific research with the Brookhaven National Laboratory, Mount Sinai Health System and has expanded to include Stony Brook Southampton, Eastern Long Island Hospital, as well as many collaborations with the Stony Brook University schools and colleges representing the arts and sciences, humanities, biomedical engineering, public policy, business, applied mathematics, and many other disciplines that contribute to a thriving campus community.</w:t>
      </w:r>
    </w:p>
    <w:p w14:paraId="24EFDC73" w14:textId="77777777" w:rsidR="00D81755" w:rsidRDefault="0073296A">
      <w:pPr>
        <w:spacing w:after="240"/>
        <w:rPr>
          <w:sz w:val="20"/>
          <w:szCs w:val="20"/>
        </w:rPr>
      </w:pPr>
      <w:r>
        <w:rPr>
          <w:sz w:val="20"/>
          <w:szCs w:val="20"/>
        </w:rPr>
        <w:t>A unique feature of Stony Brook University is its emphasis on multidisciplinary and inter-professional education and research combined with community service. The PPH shares this emphasis. The Program’s educational, service, and research initiatives emphasize an ecological understanding of health promotion, health protection, and disease prevention. In keeping with this orientation, our Program draws its full and part-time faculty from many disciplines representing the clinical, social, and behavioral</w:t>
      </w:r>
      <w:r>
        <w:rPr>
          <w:b/>
          <w:bCs/>
          <w:sz w:val="20"/>
          <w:szCs w:val="20"/>
        </w:rPr>
        <w:t xml:space="preserve"> </w:t>
      </w:r>
      <w:r>
        <w:rPr>
          <w:sz w:val="20"/>
          <w:szCs w:val="20"/>
        </w:rPr>
        <w:lastRenderedPageBreak/>
        <w:t xml:space="preserve">sciences, as well as the humanities. We also have over 50 affiliates in public health practice who support aspects of the program’s mission, vision, values, goals and objectives. </w:t>
      </w:r>
    </w:p>
    <w:p w14:paraId="24EFDC74" w14:textId="77777777" w:rsidR="00D81755" w:rsidRDefault="0073296A">
      <w:pPr>
        <w:spacing w:after="240"/>
        <w:rPr>
          <w:sz w:val="20"/>
          <w:szCs w:val="20"/>
        </w:rPr>
      </w:pPr>
      <w:r>
        <w:rPr>
          <w:sz w:val="20"/>
          <w:szCs w:val="20"/>
        </w:rPr>
        <w:t xml:space="preserve">We believe our graduates are prepared to have the skills to design novel and innovative programs, and to implement and evaluate population health and/or health care outcomes in a variety of settings, to inform and use evidence-based interventions, and to conduct and translate research into beneficial programs and policies. </w:t>
      </w:r>
    </w:p>
    <w:p w14:paraId="24EFDC75" w14:textId="77777777" w:rsidR="00D81755" w:rsidRDefault="0073296A">
      <w:pPr>
        <w:spacing w:after="240"/>
        <w:rPr>
          <w:sz w:val="20"/>
          <w:szCs w:val="20"/>
        </w:rPr>
      </w:pPr>
      <w:r>
        <w:rPr>
          <w:sz w:val="20"/>
          <w:szCs w:val="20"/>
        </w:rPr>
        <w:t xml:space="preserve">The PPH offers a stimulating learning environment for full and part-time students who are inquisitive and passionate about making a difference in the health of all people.  The PPH seeks applicants to our programs who are academically competitive and likely to be successful in a rigorous and professional graduate program. </w:t>
      </w:r>
    </w:p>
    <w:p w14:paraId="24EFDC76" w14:textId="77777777" w:rsidR="00D81755" w:rsidRDefault="0073296A">
      <w:pPr>
        <w:spacing w:after="240"/>
        <w:rPr>
          <w:sz w:val="20"/>
          <w:szCs w:val="20"/>
        </w:rPr>
      </w:pPr>
      <w:r>
        <w:rPr>
          <w:sz w:val="20"/>
          <w:szCs w:val="20"/>
        </w:rPr>
        <w:t>Lisa Benz Scott, PhD, FNAP</w:t>
      </w:r>
    </w:p>
    <w:p w14:paraId="24EFDC77" w14:textId="77777777" w:rsidR="00D81755" w:rsidRDefault="0073296A">
      <w:pPr>
        <w:spacing w:after="240"/>
      </w:pPr>
      <w:r>
        <w:rPr>
          <w:sz w:val="20"/>
          <w:szCs w:val="20"/>
        </w:rPr>
        <w:t>Executive Director and Professor, Program in Public Health</w:t>
      </w:r>
    </w:p>
    <w:p w14:paraId="24EFDC78" w14:textId="77777777" w:rsidR="00D81755" w:rsidRDefault="00D81755">
      <w:pPr>
        <w:pStyle w:val="Heading1"/>
      </w:pPr>
    </w:p>
    <w:p w14:paraId="24EFDC79" w14:textId="77777777" w:rsidR="00D81755" w:rsidRDefault="00D81755">
      <w:pPr>
        <w:pStyle w:val="Heading1"/>
      </w:pPr>
    </w:p>
    <w:p w14:paraId="24EFDC7A" w14:textId="77777777" w:rsidR="00D81755" w:rsidRDefault="00D81755">
      <w:pPr>
        <w:pStyle w:val="Heading1"/>
      </w:pPr>
    </w:p>
    <w:p w14:paraId="24EFDC7B" w14:textId="77777777" w:rsidR="00D81755" w:rsidRDefault="00D81755"/>
    <w:p w14:paraId="24EFDC7C" w14:textId="77777777" w:rsidR="00D81755" w:rsidRDefault="00D81755"/>
    <w:p w14:paraId="24EFDC7D" w14:textId="77777777" w:rsidR="00D81755" w:rsidRDefault="00D81755"/>
    <w:p w14:paraId="24EFDC7E" w14:textId="77777777" w:rsidR="00D81755" w:rsidRDefault="0073296A">
      <w:pPr>
        <w:rPr>
          <w:b/>
          <w:bCs/>
        </w:rPr>
      </w:pPr>
      <w:r>
        <w:br w:type="page"/>
      </w:r>
    </w:p>
    <w:p w14:paraId="24EFDC7F" w14:textId="77777777" w:rsidR="00D81755" w:rsidRDefault="0073296A">
      <w:pPr>
        <w:pStyle w:val="Heading1"/>
      </w:pPr>
      <w:bookmarkStart w:id="1" w:name="_heading=h.4uof7hw7ewi1" w:colFirst="0" w:colLast="0"/>
      <w:bookmarkEnd w:id="1"/>
      <w:r>
        <w:lastRenderedPageBreak/>
        <w:t>PUBLIC HEALTH FACULTY &amp; STAFF</w:t>
      </w:r>
    </w:p>
    <w:p w14:paraId="24EFDC80" w14:textId="77777777" w:rsidR="00D81755" w:rsidRDefault="00D81755"/>
    <w:p w14:paraId="24EFDC81" w14:textId="77777777" w:rsidR="00D81755" w:rsidRDefault="0073296A">
      <w:pPr>
        <w:pStyle w:val="Heading2"/>
        <w:rPr>
          <w:b w:val="0"/>
          <w:bCs w:val="0"/>
        </w:rPr>
      </w:pPr>
      <w:bookmarkStart w:id="2" w:name="_heading=h.3znysh7" w:colFirst="0" w:colLast="0"/>
      <w:bookmarkEnd w:id="2"/>
      <w:r>
        <w:t>PROGRAM IN PUBLIC HEALTH LEADERSHIP</w:t>
      </w:r>
    </w:p>
    <w:p w14:paraId="24EFDC82" w14:textId="77777777" w:rsidR="00D81755" w:rsidRDefault="00D81755">
      <w:pPr>
        <w:pBdr>
          <w:top w:val="nil"/>
          <w:left w:val="nil"/>
          <w:bottom w:val="nil"/>
          <w:right w:val="nil"/>
          <w:between w:val="nil"/>
        </w:pBdr>
        <w:spacing w:line="256" w:lineRule="auto"/>
        <w:rPr>
          <w:b/>
          <w:bCs/>
          <w:color w:val="000000"/>
          <w:sz w:val="20"/>
          <w:szCs w:val="20"/>
        </w:rPr>
      </w:pPr>
    </w:p>
    <w:p w14:paraId="24EFDC83" w14:textId="77777777" w:rsidR="00D81755" w:rsidRDefault="0073296A">
      <w:pPr>
        <w:pBdr>
          <w:top w:val="nil"/>
          <w:left w:val="nil"/>
          <w:bottom w:val="nil"/>
          <w:right w:val="nil"/>
          <w:between w:val="nil"/>
        </w:pBdr>
        <w:spacing w:after="160" w:line="256" w:lineRule="auto"/>
        <w:rPr>
          <w:b/>
          <w:bCs/>
          <w:color w:val="000000"/>
          <w:sz w:val="20"/>
          <w:szCs w:val="20"/>
        </w:rPr>
      </w:pPr>
      <w:bookmarkStart w:id="3" w:name="_heading=h.2et92p0" w:colFirst="0" w:colLast="0"/>
      <w:bookmarkEnd w:id="3"/>
      <w:r>
        <w:rPr>
          <w:b/>
          <w:bCs/>
          <w:color w:val="000000"/>
          <w:sz w:val="20"/>
          <w:szCs w:val="20"/>
        </w:rPr>
        <w:t>Lisa Benz Scott, PhD, FNAP –</w:t>
      </w:r>
      <w:r>
        <w:rPr>
          <w:color w:val="000000"/>
          <w:sz w:val="20"/>
          <w:szCs w:val="20"/>
        </w:rPr>
        <w:t xml:space="preserve"> PPH Executive Director; Professor, Schools of Health Professions </w:t>
      </w:r>
    </w:p>
    <w:p w14:paraId="24EFDC84" w14:textId="77777777" w:rsidR="00D81755" w:rsidRDefault="0073296A">
      <w:pPr>
        <w:spacing w:after="160" w:line="256" w:lineRule="auto"/>
        <w:rPr>
          <w:color w:val="000000"/>
          <w:sz w:val="20"/>
          <w:szCs w:val="20"/>
        </w:rPr>
      </w:pPr>
      <w:r>
        <w:rPr>
          <w:b/>
          <w:bCs/>
          <w:color w:val="000000"/>
          <w:sz w:val="20"/>
          <w:szCs w:val="20"/>
        </w:rPr>
        <w:t xml:space="preserve">Olga C. Aroniadis, MD, MSc - </w:t>
      </w:r>
      <w:r>
        <w:rPr>
          <w:sz w:val="20"/>
          <w:szCs w:val="20"/>
        </w:rPr>
        <w:t>Director, MS in Epidemiology and Clinical Research Program, Professor of Clinical Medicine, Division of Gastroenterology and Hepatology</w:t>
      </w:r>
    </w:p>
    <w:p w14:paraId="24EFDC85" w14:textId="77777777" w:rsidR="00D81755" w:rsidRDefault="0073296A">
      <w:pPr>
        <w:pBdr>
          <w:top w:val="nil"/>
          <w:left w:val="nil"/>
          <w:bottom w:val="nil"/>
          <w:right w:val="nil"/>
          <w:between w:val="nil"/>
        </w:pBdr>
        <w:spacing w:after="160" w:line="256" w:lineRule="auto"/>
        <w:rPr>
          <w:color w:val="000000"/>
          <w:sz w:val="20"/>
          <w:szCs w:val="20"/>
        </w:rPr>
      </w:pPr>
      <w:bookmarkStart w:id="4" w:name="_heading=h.tyjcwt" w:colFirst="0" w:colLast="0"/>
      <w:bookmarkEnd w:id="4"/>
      <w:r>
        <w:rPr>
          <w:b/>
          <w:bCs/>
          <w:color w:val="000000"/>
          <w:sz w:val="20"/>
          <w:szCs w:val="20"/>
        </w:rPr>
        <w:t xml:space="preserve">Sean Clouston, PhD </w:t>
      </w:r>
      <w:r>
        <w:rPr>
          <w:i/>
          <w:iCs/>
          <w:color w:val="000000"/>
          <w:sz w:val="20"/>
          <w:szCs w:val="20"/>
        </w:rPr>
        <w:t xml:space="preserve">– </w:t>
      </w:r>
      <w:r>
        <w:rPr>
          <w:color w:val="000000"/>
          <w:sz w:val="20"/>
          <w:szCs w:val="20"/>
        </w:rPr>
        <w:t>Director for Research; Professor, Department of Family, Population &amp; Preventive Medicine</w:t>
      </w:r>
    </w:p>
    <w:p w14:paraId="24EFDC86" w14:textId="77777777" w:rsidR="00D81755" w:rsidRDefault="0073296A">
      <w:pPr>
        <w:pBdr>
          <w:top w:val="nil"/>
          <w:left w:val="nil"/>
          <w:bottom w:val="nil"/>
          <w:right w:val="nil"/>
          <w:between w:val="nil"/>
        </w:pBdr>
        <w:spacing w:after="160" w:line="256" w:lineRule="auto"/>
        <w:rPr>
          <w:color w:val="000000"/>
          <w:sz w:val="20"/>
          <w:szCs w:val="20"/>
        </w:rPr>
      </w:pPr>
      <w:r>
        <w:rPr>
          <w:b/>
          <w:bCs/>
          <w:color w:val="000000"/>
          <w:sz w:val="20"/>
          <w:szCs w:val="20"/>
        </w:rPr>
        <w:t>Alina Denham, PhD</w:t>
      </w:r>
      <w:r>
        <w:rPr>
          <w:color w:val="000000"/>
          <w:sz w:val="20"/>
          <w:szCs w:val="20"/>
        </w:rPr>
        <w:t xml:space="preserve"> - Director, Advanced Graduate Certificate Program for Aging Populations and Healthcare Administration; Assistant Professor, Department of Family, Population &amp; Preventive Medicine</w:t>
      </w:r>
    </w:p>
    <w:p w14:paraId="24EFDC87" w14:textId="77777777" w:rsidR="00D81755" w:rsidRDefault="0073296A">
      <w:pPr>
        <w:pBdr>
          <w:top w:val="nil"/>
          <w:left w:val="nil"/>
          <w:bottom w:val="nil"/>
          <w:right w:val="nil"/>
          <w:between w:val="nil"/>
        </w:pBdr>
        <w:spacing w:after="160" w:line="256" w:lineRule="auto"/>
        <w:rPr>
          <w:color w:val="000000"/>
          <w:sz w:val="20"/>
          <w:szCs w:val="20"/>
        </w:rPr>
      </w:pPr>
      <w:r>
        <w:rPr>
          <w:b/>
          <w:bCs/>
          <w:color w:val="000000"/>
          <w:sz w:val="20"/>
          <w:szCs w:val="20"/>
        </w:rPr>
        <w:t xml:space="preserve">Lauren Hale, PhD </w:t>
      </w:r>
      <w:r>
        <w:rPr>
          <w:i/>
          <w:iCs/>
          <w:color w:val="000000"/>
          <w:sz w:val="20"/>
          <w:szCs w:val="20"/>
        </w:rPr>
        <w:t xml:space="preserve">– </w:t>
      </w:r>
      <w:r>
        <w:rPr>
          <w:color w:val="000000"/>
          <w:sz w:val="20"/>
          <w:szCs w:val="20"/>
        </w:rPr>
        <w:t>Director for Faculty Development; Professor, Department of Family, Population &amp; Preventive Medicine</w:t>
      </w:r>
    </w:p>
    <w:p w14:paraId="24EFDC88" w14:textId="77777777" w:rsidR="00D81755" w:rsidRDefault="0073296A">
      <w:pPr>
        <w:pBdr>
          <w:top w:val="nil"/>
          <w:left w:val="nil"/>
          <w:bottom w:val="nil"/>
          <w:right w:val="nil"/>
          <w:between w:val="nil"/>
        </w:pBdr>
        <w:spacing w:after="160" w:line="256" w:lineRule="auto"/>
        <w:rPr>
          <w:sz w:val="20"/>
          <w:szCs w:val="20"/>
        </w:rPr>
      </w:pPr>
      <w:r>
        <w:rPr>
          <w:b/>
          <w:bCs/>
          <w:sz w:val="20"/>
          <w:szCs w:val="20"/>
        </w:rPr>
        <w:t>Rachel Kidman, PhD –</w:t>
      </w:r>
      <w:r>
        <w:rPr>
          <w:sz w:val="22"/>
          <w:szCs w:val="22"/>
        </w:rPr>
        <w:t xml:space="preserve"> </w:t>
      </w:r>
      <w:r>
        <w:rPr>
          <w:sz w:val="20"/>
          <w:szCs w:val="20"/>
        </w:rPr>
        <w:t>Director, Doctoral Studies; Professor, Department of Family, Population &amp; Preventive Medicine</w:t>
      </w:r>
    </w:p>
    <w:p w14:paraId="24EFDC89" w14:textId="77777777" w:rsidR="00D81755" w:rsidRDefault="0073296A">
      <w:pPr>
        <w:pBdr>
          <w:top w:val="nil"/>
          <w:left w:val="nil"/>
          <w:bottom w:val="nil"/>
          <w:right w:val="nil"/>
          <w:between w:val="nil"/>
        </w:pBdr>
        <w:spacing w:after="160" w:line="256" w:lineRule="auto"/>
        <w:rPr>
          <w:color w:val="000000"/>
          <w:sz w:val="20"/>
          <w:szCs w:val="20"/>
        </w:rPr>
      </w:pPr>
      <w:r>
        <w:rPr>
          <w:b/>
          <w:bCs/>
          <w:sz w:val="20"/>
          <w:szCs w:val="20"/>
        </w:rPr>
        <w:t>D</w:t>
      </w:r>
      <w:r>
        <w:rPr>
          <w:b/>
          <w:bCs/>
          <w:color w:val="000000"/>
          <w:sz w:val="20"/>
          <w:szCs w:val="20"/>
        </w:rPr>
        <w:t>ylan Smith, PhD</w:t>
      </w:r>
      <w:r>
        <w:rPr>
          <w:i/>
          <w:iCs/>
          <w:color w:val="000000"/>
          <w:sz w:val="20"/>
          <w:szCs w:val="20"/>
        </w:rPr>
        <w:t xml:space="preserve"> – </w:t>
      </w:r>
      <w:r>
        <w:rPr>
          <w:color w:val="000000"/>
          <w:sz w:val="20"/>
          <w:szCs w:val="20"/>
        </w:rPr>
        <w:t xml:space="preserve">Director, MPH Program; Professor, Department of Family, Population &amp; Preventive Medicine </w:t>
      </w:r>
    </w:p>
    <w:p w14:paraId="24EFDC8A" w14:textId="77777777" w:rsidR="00D81755" w:rsidRDefault="0073296A">
      <w:pPr>
        <w:pBdr>
          <w:top w:val="nil"/>
          <w:left w:val="nil"/>
          <w:bottom w:val="nil"/>
          <w:right w:val="nil"/>
          <w:between w:val="nil"/>
        </w:pBdr>
        <w:spacing w:after="160" w:line="256" w:lineRule="auto"/>
        <w:rPr>
          <w:color w:val="000000"/>
          <w:sz w:val="20"/>
          <w:szCs w:val="20"/>
        </w:rPr>
      </w:pPr>
      <w:r>
        <w:rPr>
          <w:b/>
          <w:bCs/>
          <w:color w:val="000000"/>
          <w:sz w:val="20"/>
          <w:szCs w:val="20"/>
        </w:rPr>
        <w:t>Lesley Tomaszewski, PhD</w:t>
      </w:r>
      <w:r>
        <w:rPr>
          <w:color w:val="000000"/>
          <w:sz w:val="20"/>
          <w:szCs w:val="20"/>
        </w:rPr>
        <w:t xml:space="preserve"> – Director, MHA Program, Research Associate Professor, Department of Family, Population &amp; Preventive Medicine</w:t>
      </w:r>
    </w:p>
    <w:p w14:paraId="24EFDC8B" w14:textId="77777777" w:rsidR="00D81755" w:rsidRDefault="00D81755">
      <w:pPr>
        <w:pStyle w:val="Heading2"/>
      </w:pPr>
    </w:p>
    <w:p w14:paraId="24EFDC8C" w14:textId="77777777" w:rsidR="00D81755" w:rsidRDefault="0073296A">
      <w:pPr>
        <w:pStyle w:val="Heading2"/>
      </w:pPr>
      <w:bookmarkStart w:id="5" w:name="_heading=h.x92qk5hdne25" w:colFirst="0" w:colLast="0"/>
      <w:bookmarkEnd w:id="5"/>
      <w:r>
        <w:t>PROGRAM IN PUBLIC HEALTH ADMINISTRATIVE STAFF</w:t>
      </w:r>
    </w:p>
    <w:p w14:paraId="24EFDC8D" w14:textId="77777777" w:rsidR="00D81755" w:rsidRDefault="00D81755">
      <w:pPr>
        <w:pBdr>
          <w:top w:val="nil"/>
          <w:left w:val="nil"/>
          <w:bottom w:val="nil"/>
          <w:right w:val="nil"/>
          <w:between w:val="nil"/>
        </w:pBdr>
        <w:spacing w:line="256" w:lineRule="auto"/>
        <w:rPr>
          <w:b/>
          <w:bCs/>
          <w:color w:val="000000"/>
          <w:sz w:val="20"/>
          <w:szCs w:val="20"/>
        </w:rPr>
      </w:pPr>
    </w:p>
    <w:p w14:paraId="24EFDC8E" w14:textId="77777777" w:rsidR="00D81755" w:rsidRDefault="0073296A">
      <w:pPr>
        <w:pBdr>
          <w:top w:val="nil"/>
          <w:left w:val="nil"/>
          <w:bottom w:val="nil"/>
          <w:right w:val="nil"/>
          <w:between w:val="nil"/>
        </w:pBdr>
        <w:spacing w:after="160" w:line="256" w:lineRule="auto"/>
        <w:rPr>
          <w:color w:val="000000"/>
          <w:sz w:val="20"/>
          <w:szCs w:val="20"/>
        </w:rPr>
      </w:pPr>
      <w:r>
        <w:rPr>
          <w:b/>
          <w:bCs/>
          <w:color w:val="000000"/>
          <w:sz w:val="20"/>
          <w:szCs w:val="20"/>
        </w:rPr>
        <w:t xml:space="preserve">Paige Corwin </w:t>
      </w:r>
      <w:r>
        <w:rPr>
          <w:color w:val="000000"/>
          <w:sz w:val="20"/>
          <w:szCs w:val="20"/>
        </w:rPr>
        <w:t>– Practicum Placement and Community Engagement Coordinator</w:t>
      </w:r>
    </w:p>
    <w:p w14:paraId="24EFDC8F" w14:textId="77777777" w:rsidR="00D81755" w:rsidRDefault="0073296A">
      <w:pPr>
        <w:pBdr>
          <w:top w:val="nil"/>
          <w:left w:val="nil"/>
          <w:bottom w:val="nil"/>
          <w:right w:val="nil"/>
          <w:between w:val="nil"/>
        </w:pBdr>
        <w:spacing w:line="256" w:lineRule="auto"/>
        <w:rPr>
          <w:sz w:val="20"/>
          <w:szCs w:val="20"/>
        </w:rPr>
      </w:pPr>
      <w:r>
        <w:rPr>
          <w:b/>
          <w:bCs/>
          <w:sz w:val="20"/>
          <w:szCs w:val="20"/>
        </w:rPr>
        <w:t>Kimberly Hine</w:t>
      </w:r>
      <w:r>
        <w:rPr>
          <w:sz w:val="20"/>
          <w:szCs w:val="20"/>
        </w:rPr>
        <w:t xml:space="preserve"> – Pre-Award Grants Coordinator</w:t>
      </w:r>
    </w:p>
    <w:p w14:paraId="24EFDC90" w14:textId="77777777" w:rsidR="00D81755" w:rsidRDefault="00D81755">
      <w:pPr>
        <w:pBdr>
          <w:top w:val="nil"/>
          <w:left w:val="nil"/>
          <w:bottom w:val="nil"/>
          <w:right w:val="nil"/>
          <w:between w:val="nil"/>
        </w:pBdr>
        <w:spacing w:line="256" w:lineRule="auto"/>
        <w:rPr>
          <w:b/>
          <w:bCs/>
          <w:sz w:val="20"/>
          <w:szCs w:val="20"/>
        </w:rPr>
      </w:pPr>
    </w:p>
    <w:p w14:paraId="24EFDC91" w14:textId="77777777" w:rsidR="00D81755" w:rsidRDefault="0073296A">
      <w:pPr>
        <w:pBdr>
          <w:top w:val="nil"/>
          <w:left w:val="nil"/>
          <w:bottom w:val="nil"/>
          <w:right w:val="nil"/>
          <w:between w:val="nil"/>
        </w:pBdr>
        <w:spacing w:line="256" w:lineRule="auto"/>
        <w:rPr>
          <w:color w:val="000000"/>
          <w:sz w:val="20"/>
          <w:szCs w:val="20"/>
        </w:rPr>
      </w:pPr>
      <w:r>
        <w:rPr>
          <w:b/>
          <w:bCs/>
          <w:sz w:val="20"/>
          <w:szCs w:val="20"/>
        </w:rPr>
        <w:t>Jiayi (Joyce) Li, MBA, MA</w:t>
      </w:r>
      <w:r>
        <w:rPr>
          <w:b/>
          <w:bCs/>
          <w:color w:val="000000"/>
          <w:sz w:val="20"/>
          <w:szCs w:val="20"/>
        </w:rPr>
        <w:t xml:space="preserve"> </w:t>
      </w:r>
      <w:r>
        <w:rPr>
          <w:color w:val="000000"/>
          <w:sz w:val="20"/>
          <w:szCs w:val="20"/>
        </w:rPr>
        <w:t xml:space="preserve">– Graduate Program Coordinator for MHA </w:t>
      </w:r>
      <w:r>
        <w:rPr>
          <w:sz w:val="20"/>
          <w:szCs w:val="20"/>
        </w:rPr>
        <w:t>Program</w:t>
      </w:r>
    </w:p>
    <w:p w14:paraId="24EFDC92" w14:textId="77777777" w:rsidR="00D81755" w:rsidRDefault="00D81755">
      <w:pPr>
        <w:pBdr>
          <w:top w:val="nil"/>
          <w:left w:val="nil"/>
          <w:bottom w:val="nil"/>
          <w:right w:val="nil"/>
          <w:between w:val="nil"/>
        </w:pBdr>
        <w:spacing w:line="256" w:lineRule="auto"/>
        <w:rPr>
          <w:b/>
          <w:bCs/>
          <w:color w:val="000000"/>
          <w:sz w:val="20"/>
          <w:szCs w:val="20"/>
        </w:rPr>
      </w:pPr>
    </w:p>
    <w:p w14:paraId="24EFDC93" w14:textId="77777777" w:rsidR="00D81755" w:rsidRDefault="0073296A">
      <w:pPr>
        <w:pBdr>
          <w:top w:val="nil"/>
          <w:left w:val="nil"/>
          <w:bottom w:val="nil"/>
          <w:right w:val="nil"/>
          <w:between w:val="nil"/>
        </w:pBdr>
        <w:spacing w:line="256" w:lineRule="auto"/>
        <w:rPr>
          <w:color w:val="000000"/>
          <w:sz w:val="20"/>
          <w:szCs w:val="20"/>
        </w:rPr>
      </w:pPr>
      <w:r>
        <w:rPr>
          <w:b/>
          <w:bCs/>
          <w:color w:val="000000"/>
          <w:sz w:val="20"/>
          <w:szCs w:val="20"/>
        </w:rPr>
        <w:t xml:space="preserve">Terica Mannette-Wilson </w:t>
      </w:r>
      <w:r>
        <w:rPr>
          <w:color w:val="000000"/>
          <w:sz w:val="20"/>
          <w:szCs w:val="20"/>
        </w:rPr>
        <w:t>– Graduate Program Coordinator for MPH Program</w:t>
      </w:r>
    </w:p>
    <w:p w14:paraId="24EFDC94" w14:textId="77777777" w:rsidR="00D81755" w:rsidRDefault="0073296A">
      <w:pPr>
        <w:pBdr>
          <w:top w:val="nil"/>
          <w:left w:val="nil"/>
          <w:bottom w:val="nil"/>
          <w:right w:val="nil"/>
          <w:between w:val="nil"/>
        </w:pBdr>
        <w:spacing w:line="256" w:lineRule="auto"/>
        <w:rPr>
          <w:b/>
          <w:bCs/>
          <w:color w:val="000000"/>
          <w:sz w:val="20"/>
          <w:szCs w:val="20"/>
        </w:rPr>
      </w:pPr>
      <w:r>
        <w:rPr>
          <w:b/>
          <w:bCs/>
          <w:color w:val="000000"/>
          <w:sz w:val="20"/>
          <w:szCs w:val="20"/>
        </w:rPr>
        <w:t xml:space="preserve">  </w:t>
      </w:r>
    </w:p>
    <w:p w14:paraId="24EFDC95" w14:textId="77777777" w:rsidR="00D81755" w:rsidRDefault="0073296A">
      <w:pPr>
        <w:pBdr>
          <w:top w:val="nil"/>
          <w:left w:val="nil"/>
          <w:bottom w:val="nil"/>
          <w:right w:val="nil"/>
          <w:between w:val="nil"/>
        </w:pBdr>
        <w:spacing w:line="256" w:lineRule="auto"/>
        <w:rPr>
          <w:color w:val="000000"/>
          <w:sz w:val="20"/>
          <w:szCs w:val="20"/>
        </w:rPr>
      </w:pPr>
      <w:r>
        <w:rPr>
          <w:b/>
          <w:bCs/>
          <w:color w:val="000000"/>
          <w:sz w:val="20"/>
          <w:szCs w:val="20"/>
        </w:rPr>
        <w:t>Becca Nolder, MSW, MPH –</w:t>
      </w:r>
      <w:r>
        <w:rPr>
          <w:color w:val="000000"/>
          <w:sz w:val="20"/>
          <w:szCs w:val="20"/>
        </w:rPr>
        <w:t xml:space="preserve"> Program Coordinator, Stony Brook Medicine Healthy Libraries Program (</w:t>
      </w:r>
      <w:proofErr w:type="spellStart"/>
      <w:r>
        <w:rPr>
          <w:color w:val="000000"/>
          <w:sz w:val="20"/>
          <w:szCs w:val="20"/>
        </w:rPr>
        <w:t>HeLP</w:t>
      </w:r>
      <w:proofErr w:type="spellEnd"/>
      <w:r>
        <w:rPr>
          <w:color w:val="000000"/>
          <w:sz w:val="20"/>
          <w:szCs w:val="20"/>
        </w:rPr>
        <w:t>)</w:t>
      </w:r>
    </w:p>
    <w:p w14:paraId="24EFDC96" w14:textId="77777777" w:rsidR="00D81755" w:rsidRDefault="00D81755">
      <w:pPr>
        <w:pBdr>
          <w:top w:val="nil"/>
          <w:left w:val="nil"/>
          <w:bottom w:val="nil"/>
          <w:right w:val="nil"/>
          <w:between w:val="nil"/>
        </w:pBdr>
        <w:spacing w:line="256" w:lineRule="auto"/>
        <w:rPr>
          <w:color w:val="000000"/>
          <w:sz w:val="20"/>
          <w:szCs w:val="20"/>
        </w:rPr>
      </w:pPr>
    </w:p>
    <w:p w14:paraId="24EFDC97" w14:textId="77777777" w:rsidR="00D81755" w:rsidRDefault="0073296A">
      <w:pPr>
        <w:pBdr>
          <w:top w:val="nil"/>
          <w:left w:val="nil"/>
          <w:bottom w:val="nil"/>
          <w:right w:val="nil"/>
          <w:between w:val="nil"/>
        </w:pBdr>
        <w:spacing w:line="256" w:lineRule="auto"/>
        <w:rPr>
          <w:color w:val="000000"/>
          <w:sz w:val="20"/>
          <w:szCs w:val="20"/>
        </w:rPr>
      </w:pPr>
      <w:r>
        <w:rPr>
          <w:b/>
          <w:bCs/>
          <w:color w:val="000000"/>
          <w:sz w:val="20"/>
          <w:szCs w:val="20"/>
        </w:rPr>
        <w:t>Catherine Polster, MA</w:t>
      </w:r>
      <w:r>
        <w:rPr>
          <w:i/>
          <w:iCs/>
          <w:color w:val="000000"/>
          <w:sz w:val="20"/>
          <w:szCs w:val="20"/>
        </w:rPr>
        <w:t xml:space="preserve"> – </w:t>
      </w:r>
      <w:r>
        <w:rPr>
          <w:color w:val="000000"/>
          <w:sz w:val="20"/>
          <w:szCs w:val="20"/>
        </w:rPr>
        <w:t xml:space="preserve">Senior Staff Assistant </w:t>
      </w:r>
      <w:r>
        <w:rPr>
          <w:sz w:val="20"/>
          <w:szCs w:val="20"/>
        </w:rPr>
        <w:t>for Admissions and Recruitment</w:t>
      </w:r>
    </w:p>
    <w:p w14:paraId="24EFDC98" w14:textId="77777777" w:rsidR="00D81755" w:rsidRDefault="00D81755">
      <w:pPr>
        <w:pBdr>
          <w:top w:val="nil"/>
          <w:left w:val="nil"/>
          <w:bottom w:val="nil"/>
          <w:right w:val="nil"/>
          <w:between w:val="nil"/>
        </w:pBdr>
        <w:spacing w:line="256" w:lineRule="auto"/>
        <w:rPr>
          <w:color w:val="000000"/>
          <w:sz w:val="20"/>
          <w:szCs w:val="20"/>
        </w:rPr>
      </w:pPr>
    </w:p>
    <w:p w14:paraId="24EFDC99" w14:textId="77777777" w:rsidR="00D81755" w:rsidRDefault="0073296A">
      <w:pPr>
        <w:pBdr>
          <w:top w:val="nil"/>
          <w:left w:val="nil"/>
          <w:bottom w:val="nil"/>
          <w:right w:val="nil"/>
          <w:between w:val="nil"/>
        </w:pBdr>
        <w:spacing w:line="256" w:lineRule="auto"/>
        <w:rPr>
          <w:color w:val="000000"/>
          <w:sz w:val="20"/>
          <w:szCs w:val="20"/>
        </w:rPr>
      </w:pPr>
      <w:r>
        <w:rPr>
          <w:b/>
          <w:bCs/>
          <w:color w:val="000000"/>
          <w:sz w:val="20"/>
          <w:szCs w:val="20"/>
        </w:rPr>
        <w:t>Lakshmi Ramsoondar, MA, MAPP</w:t>
      </w:r>
      <w:r>
        <w:rPr>
          <w:color w:val="000000"/>
          <w:sz w:val="20"/>
          <w:szCs w:val="20"/>
        </w:rPr>
        <w:t xml:space="preserve"> – Associate Director for Academic &amp; Student Affairs</w:t>
      </w:r>
    </w:p>
    <w:p w14:paraId="24EFDC9A" w14:textId="77777777" w:rsidR="00D81755" w:rsidRDefault="00D81755">
      <w:pPr>
        <w:pBdr>
          <w:top w:val="nil"/>
          <w:left w:val="nil"/>
          <w:bottom w:val="nil"/>
          <w:right w:val="nil"/>
          <w:between w:val="nil"/>
        </w:pBdr>
        <w:spacing w:line="256" w:lineRule="auto"/>
        <w:rPr>
          <w:sz w:val="20"/>
          <w:szCs w:val="20"/>
        </w:rPr>
      </w:pPr>
    </w:p>
    <w:p w14:paraId="24EFDC9B" w14:textId="77777777" w:rsidR="00D81755" w:rsidRDefault="0073296A">
      <w:pPr>
        <w:pBdr>
          <w:top w:val="nil"/>
          <w:left w:val="nil"/>
          <w:bottom w:val="nil"/>
          <w:right w:val="nil"/>
          <w:between w:val="nil"/>
        </w:pBdr>
        <w:spacing w:after="160" w:line="256" w:lineRule="auto"/>
        <w:rPr>
          <w:color w:val="000000"/>
          <w:sz w:val="20"/>
          <w:szCs w:val="20"/>
        </w:rPr>
      </w:pPr>
      <w:r>
        <w:rPr>
          <w:b/>
          <w:bCs/>
          <w:color w:val="000000"/>
          <w:sz w:val="20"/>
          <w:szCs w:val="20"/>
        </w:rPr>
        <w:t>Christine Ziman, MA</w:t>
      </w:r>
      <w:r>
        <w:rPr>
          <w:color w:val="000000"/>
          <w:sz w:val="20"/>
          <w:szCs w:val="20"/>
        </w:rPr>
        <w:t xml:space="preserve"> – Associate Director for Administration and Finance</w:t>
      </w:r>
    </w:p>
    <w:p w14:paraId="24EFDC9C" w14:textId="77777777" w:rsidR="00D81755" w:rsidRDefault="00D81755">
      <w:pPr>
        <w:pBdr>
          <w:top w:val="nil"/>
          <w:left w:val="nil"/>
          <w:bottom w:val="nil"/>
          <w:right w:val="nil"/>
          <w:between w:val="nil"/>
        </w:pBdr>
        <w:spacing w:after="160" w:line="256" w:lineRule="auto"/>
        <w:rPr>
          <w:color w:val="000000"/>
          <w:sz w:val="20"/>
          <w:szCs w:val="20"/>
        </w:rPr>
      </w:pPr>
    </w:p>
    <w:p w14:paraId="24EFDC9D" w14:textId="77777777" w:rsidR="00D81755" w:rsidRDefault="0073296A">
      <w:pPr>
        <w:rPr>
          <w:b/>
          <w:bCs/>
          <w:sz w:val="20"/>
          <w:szCs w:val="20"/>
        </w:rPr>
      </w:pPr>
      <w:bookmarkStart w:id="6" w:name="_heading=h.m5rqrziyuv02" w:colFirst="0" w:colLast="0"/>
      <w:bookmarkEnd w:id="6"/>
      <w:r>
        <w:br w:type="page"/>
      </w:r>
    </w:p>
    <w:p w14:paraId="24EFDC9E" w14:textId="77777777" w:rsidR="00D81755" w:rsidRDefault="0073296A">
      <w:pPr>
        <w:pStyle w:val="Heading2"/>
        <w:rPr>
          <w:u w:val="single"/>
        </w:rPr>
      </w:pPr>
      <w:r>
        <w:lastRenderedPageBreak/>
        <w:t>PROGRAM IN PUBLIC HEALTH CORE FACULTY</w:t>
      </w:r>
      <w:r>
        <w:br/>
      </w:r>
    </w:p>
    <w:p w14:paraId="24EFDC9F" w14:textId="77777777" w:rsidR="00D81755" w:rsidRDefault="0073296A">
      <w:pPr>
        <w:pBdr>
          <w:top w:val="nil"/>
          <w:left w:val="nil"/>
          <w:bottom w:val="nil"/>
          <w:right w:val="nil"/>
          <w:between w:val="nil"/>
        </w:pBdr>
        <w:spacing w:line="256" w:lineRule="auto"/>
        <w:rPr>
          <w:b/>
          <w:bCs/>
          <w:sz w:val="20"/>
          <w:szCs w:val="20"/>
        </w:rPr>
      </w:pPr>
      <w:r>
        <w:rPr>
          <w:b/>
          <w:bCs/>
          <w:color w:val="000000"/>
          <w:sz w:val="20"/>
          <w:szCs w:val="20"/>
        </w:rPr>
        <w:t>Michele Bayley, MPH</w:t>
      </w:r>
      <w:r>
        <w:rPr>
          <w:b/>
          <w:bCs/>
          <w:sz w:val="20"/>
          <w:szCs w:val="20"/>
        </w:rPr>
        <w:t>, MCHES</w:t>
      </w:r>
    </w:p>
    <w:p w14:paraId="24EFDCA0" w14:textId="77777777" w:rsidR="00D81755" w:rsidRDefault="0073296A">
      <w:pPr>
        <w:pBdr>
          <w:top w:val="nil"/>
          <w:left w:val="nil"/>
          <w:bottom w:val="nil"/>
          <w:right w:val="nil"/>
          <w:between w:val="nil"/>
        </w:pBdr>
        <w:spacing w:line="256" w:lineRule="auto"/>
        <w:rPr>
          <w:color w:val="000000"/>
          <w:sz w:val="20"/>
          <w:szCs w:val="20"/>
        </w:rPr>
      </w:pPr>
      <w:r>
        <w:rPr>
          <w:color w:val="000000"/>
          <w:sz w:val="20"/>
          <w:szCs w:val="20"/>
        </w:rPr>
        <w:t xml:space="preserve">Director, MPH Applied Practice; </w:t>
      </w:r>
      <w:r>
        <w:rPr>
          <w:sz w:val="20"/>
          <w:szCs w:val="20"/>
        </w:rPr>
        <w:t xml:space="preserve">Community Health Concentration Head, Master of Public Health Program; </w:t>
      </w:r>
      <w:r>
        <w:rPr>
          <w:color w:val="000000"/>
          <w:sz w:val="20"/>
          <w:szCs w:val="20"/>
        </w:rPr>
        <w:t>Instructor, Department of Family, Population &amp; Preventive Medicine</w:t>
      </w:r>
    </w:p>
    <w:p w14:paraId="24EFDCA1" w14:textId="77777777" w:rsidR="00D81755" w:rsidRDefault="00D81755">
      <w:pPr>
        <w:pBdr>
          <w:top w:val="nil"/>
          <w:left w:val="nil"/>
          <w:bottom w:val="nil"/>
          <w:right w:val="nil"/>
          <w:between w:val="nil"/>
        </w:pBdr>
        <w:spacing w:line="256" w:lineRule="auto"/>
        <w:rPr>
          <w:color w:val="000000"/>
          <w:sz w:val="20"/>
          <w:szCs w:val="20"/>
        </w:rPr>
      </w:pPr>
    </w:p>
    <w:p w14:paraId="24EFDCA2" w14:textId="77777777" w:rsidR="00D81755" w:rsidRDefault="0073296A">
      <w:pPr>
        <w:pBdr>
          <w:top w:val="nil"/>
          <w:left w:val="nil"/>
          <w:bottom w:val="nil"/>
          <w:right w:val="nil"/>
          <w:between w:val="nil"/>
        </w:pBdr>
        <w:spacing w:line="256" w:lineRule="auto"/>
        <w:rPr>
          <w:b/>
          <w:bCs/>
          <w:color w:val="000000"/>
          <w:sz w:val="20"/>
          <w:szCs w:val="20"/>
        </w:rPr>
      </w:pPr>
      <w:r>
        <w:rPr>
          <w:b/>
          <w:bCs/>
          <w:color w:val="000000"/>
          <w:sz w:val="20"/>
          <w:szCs w:val="20"/>
        </w:rPr>
        <w:t>Blake Benz, MHA</w:t>
      </w:r>
    </w:p>
    <w:p w14:paraId="24EFDCA3" w14:textId="77777777" w:rsidR="00D81755" w:rsidRDefault="0073296A">
      <w:pPr>
        <w:pBdr>
          <w:top w:val="nil"/>
          <w:left w:val="nil"/>
          <w:bottom w:val="nil"/>
          <w:right w:val="nil"/>
          <w:between w:val="nil"/>
        </w:pBdr>
        <w:spacing w:line="256" w:lineRule="auto"/>
        <w:rPr>
          <w:color w:val="000000"/>
          <w:sz w:val="20"/>
          <w:szCs w:val="20"/>
        </w:rPr>
      </w:pPr>
      <w:r>
        <w:rPr>
          <w:color w:val="000000"/>
          <w:sz w:val="20"/>
          <w:szCs w:val="20"/>
        </w:rPr>
        <w:t>Clinical Instructor, Department of Family, Population &amp; Preventive Medicine</w:t>
      </w:r>
    </w:p>
    <w:p w14:paraId="24EFDCA4" w14:textId="77777777" w:rsidR="00D81755" w:rsidRDefault="00D81755">
      <w:pPr>
        <w:pBdr>
          <w:top w:val="nil"/>
          <w:left w:val="nil"/>
          <w:bottom w:val="nil"/>
          <w:right w:val="nil"/>
          <w:between w:val="nil"/>
        </w:pBdr>
        <w:spacing w:line="256" w:lineRule="auto"/>
        <w:rPr>
          <w:b/>
          <w:bCs/>
          <w:color w:val="000000"/>
          <w:sz w:val="20"/>
          <w:szCs w:val="20"/>
        </w:rPr>
      </w:pPr>
    </w:p>
    <w:p w14:paraId="24EFDCA5" w14:textId="77777777" w:rsidR="00D81755" w:rsidRDefault="0073296A">
      <w:pPr>
        <w:pBdr>
          <w:top w:val="nil"/>
          <w:left w:val="nil"/>
          <w:bottom w:val="nil"/>
          <w:right w:val="nil"/>
          <w:between w:val="nil"/>
        </w:pBdr>
        <w:spacing w:line="256" w:lineRule="auto"/>
        <w:rPr>
          <w:color w:val="000000"/>
          <w:sz w:val="20"/>
          <w:szCs w:val="20"/>
        </w:rPr>
      </w:pPr>
      <w:r>
        <w:rPr>
          <w:b/>
          <w:bCs/>
          <w:color w:val="000000"/>
          <w:sz w:val="20"/>
          <w:szCs w:val="20"/>
        </w:rPr>
        <w:t>Lisa A. Benz Scott, PhD, FNAP</w:t>
      </w:r>
    </w:p>
    <w:p w14:paraId="24EFDCA6" w14:textId="77777777" w:rsidR="00D81755" w:rsidRDefault="0073296A">
      <w:pPr>
        <w:pBdr>
          <w:top w:val="nil"/>
          <w:left w:val="nil"/>
          <w:bottom w:val="nil"/>
          <w:right w:val="nil"/>
          <w:between w:val="nil"/>
        </w:pBdr>
        <w:rPr>
          <w:color w:val="000000"/>
          <w:sz w:val="20"/>
          <w:szCs w:val="20"/>
        </w:rPr>
      </w:pPr>
      <w:r>
        <w:rPr>
          <w:color w:val="000000"/>
          <w:sz w:val="20"/>
          <w:szCs w:val="20"/>
        </w:rPr>
        <w:t>Executive Director, Program in Public Health; Professor, Schools of Health Professions</w:t>
      </w:r>
    </w:p>
    <w:p w14:paraId="24EFDCA7" w14:textId="77777777" w:rsidR="00D81755" w:rsidRDefault="00D81755">
      <w:pPr>
        <w:pBdr>
          <w:top w:val="nil"/>
          <w:left w:val="nil"/>
          <w:bottom w:val="nil"/>
          <w:right w:val="nil"/>
          <w:between w:val="nil"/>
        </w:pBdr>
        <w:spacing w:line="256" w:lineRule="auto"/>
        <w:rPr>
          <w:b/>
          <w:bCs/>
          <w:color w:val="000000"/>
          <w:sz w:val="20"/>
          <w:szCs w:val="20"/>
        </w:rPr>
      </w:pPr>
    </w:p>
    <w:p w14:paraId="24EFDCA8" w14:textId="77777777" w:rsidR="00D81755" w:rsidRDefault="0073296A">
      <w:pPr>
        <w:pBdr>
          <w:top w:val="nil"/>
          <w:left w:val="nil"/>
          <w:bottom w:val="nil"/>
          <w:right w:val="nil"/>
          <w:between w:val="nil"/>
        </w:pBdr>
        <w:spacing w:line="256" w:lineRule="auto"/>
        <w:rPr>
          <w:color w:val="000000"/>
          <w:sz w:val="20"/>
          <w:szCs w:val="20"/>
        </w:rPr>
      </w:pPr>
      <w:r>
        <w:rPr>
          <w:b/>
          <w:bCs/>
          <w:color w:val="000000"/>
          <w:sz w:val="20"/>
          <w:szCs w:val="20"/>
        </w:rPr>
        <w:t>Sean Clouston, PhD</w:t>
      </w:r>
    </w:p>
    <w:p w14:paraId="24EFDCA9" w14:textId="77777777" w:rsidR="00D81755" w:rsidRDefault="0073296A">
      <w:pPr>
        <w:pBdr>
          <w:top w:val="nil"/>
          <w:left w:val="nil"/>
          <w:bottom w:val="nil"/>
          <w:right w:val="nil"/>
          <w:between w:val="nil"/>
        </w:pBdr>
        <w:rPr>
          <w:color w:val="000000"/>
          <w:sz w:val="20"/>
          <w:szCs w:val="20"/>
        </w:rPr>
      </w:pPr>
      <w:r>
        <w:rPr>
          <w:color w:val="000000"/>
          <w:sz w:val="20"/>
          <w:szCs w:val="20"/>
        </w:rPr>
        <w:t>Director of Research, Professor, Department of Family, Population &amp; Preventive Medicine</w:t>
      </w:r>
      <w:r>
        <w:rPr>
          <w:color w:val="000000"/>
          <w:sz w:val="20"/>
          <w:szCs w:val="20"/>
        </w:rPr>
        <w:tab/>
        <w:t xml:space="preserve"> </w:t>
      </w:r>
      <w:r>
        <w:rPr>
          <w:color w:val="000000"/>
          <w:sz w:val="20"/>
          <w:szCs w:val="20"/>
        </w:rPr>
        <w:tab/>
      </w:r>
    </w:p>
    <w:p w14:paraId="24EFDCAA" w14:textId="77777777" w:rsidR="00D81755" w:rsidRDefault="00D81755">
      <w:pPr>
        <w:pBdr>
          <w:top w:val="nil"/>
          <w:left w:val="nil"/>
          <w:bottom w:val="nil"/>
          <w:right w:val="nil"/>
          <w:between w:val="nil"/>
        </w:pBdr>
        <w:spacing w:line="256" w:lineRule="auto"/>
        <w:rPr>
          <w:b/>
          <w:bCs/>
          <w:color w:val="000000"/>
          <w:sz w:val="20"/>
          <w:szCs w:val="20"/>
        </w:rPr>
      </w:pPr>
    </w:p>
    <w:p w14:paraId="24EFDCAB" w14:textId="77777777" w:rsidR="00D81755" w:rsidRDefault="0073296A">
      <w:pPr>
        <w:pBdr>
          <w:top w:val="nil"/>
          <w:left w:val="nil"/>
          <w:bottom w:val="nil"/>
          <w:right w:val="nil"/>
          <w:between w:val="nil"/>
        </w:pBdr>
        <w:spacing w:line="256" w:lineRule="auto"/>
        <w:rPr>
          <w:b/>
          <w:bCs/>
          <w:color w:val="000000"/>
          <w:sz w:val="20"/>
          <w:szCs w:val="20"/>
        </w:rPr>
      </w:pPr>
      <w:r>
        <w:rPr>
          <w:b/>
          <w:bCs/>
          <w:color w:val="000000"/>
          <w:sz w:val="20"/>
          <w:szCs w:val="20"/>
        </w:rPr>
        <w:t>Mahdieh Danesh Yazdi, PhD</w:t>
      </w:r>
    </w:p>
    <w:p w14:paraId="24EFDCAC" w14:textId="77777777" w:rsidR="00D81755" w:rsidRDefault="0073296A">
      <w:pPr>
        <w:pBdr>
          <w:top w:val="nil"/>
          <w:left w:val="nil"/>
          <w:bottom w:val="nil"/>
          <w:right w:val="nil"/>
          <w:between w:val="nil"/>
        </w:pBdr>
        <w:spacing w:line="256" w:lineRule="auto"/>
        <w:rPr>
          <w:color w:val="000000"/>
          <w:sz w:val="20"/>
          <w:szCs w:val="20"/>
        </w:rPr>
      </w:pPr>
      <w:r>
        <w:rPr>
          <w:color w:val="000000"/>
          <w:sz w:val="20"/>
          <w:szCs w:val="20"/>
        </w:rPr>
        <w:t>Epidemiology and Biostatistics Concentration Head, Master of Public Health Program; Assistant Professor, Department of Family, Population &amp; Preventive Medicine</w:t>
      </w:r>
      <w:r>
        <w:rPr>
          <w:color w:val="000000"/>
          <w:sz w:val="20"/>
          <w:szCs w:val="20"/>
        </w:rPr>
        <w:tab/>
      </w:r>
    </w:p>
    <w:p w14:paraId="24EFDCAD" w14:textId="77777777" w:rsidR="00D81755" w:rsidRDefault="00D81755">
      <w:pPr>
        <w:pBdr>
          <w:top w:val="nil"/>
          <w:left w:val="nil"/>
          <w:bottom w:val="nil"/>
          <w:right w:val="nil"/>
          <w:between w:val="nil"/>
        </w:pBdr>
        <w:spacing w:line="256" w:lineRule="auto"/>
        <w:rPr>
          <w:b/>
          <w:bCs/>
          <w:color w:val="000000"/>
          <w:sz w:val="20"/>
          <w:szCs w:val="20"/>
        </w:rPr>
      </w:pPr>
    </w:p>
    <w:p w14:paraId="24EFDCAE" w14:textId="77777777" w:rsidR="00D81755" w:rsidRDefault="0073296A">
      <w:pPr>
        <w:pBdr>
          <w:top w:val="nil"/>
          <w:left w:val="nil"/>
          <w:bottom w:val="nil"/>
          <w:right w:val="nil"/>
          <w:between w:val="nil"/>
        </w:pBdr>
        <w:spacing w:line="256" w:lineRule="auto"/>
        <w:rPr>
          <w:b/>
          <w:bCs/>
          <w:sz w:val="20"/>
          <w:szCs w:val="20"/>
        </w:rPr>
      </w:pPr>
      <w:r>
        <w:rPr>
          <w:b/>
          <w:bCs/>
          <w:sz w:val="20"/>
          <w:szCs w:val="20"/>
        </w:rPr>
        <w:t>Alina Denham, PhD</w:t>
      </w:r>
    </w:p>
    <w:p w14:paraId="24EFDCAF" w14:textId="77777777" w:rsidR="00D81755" w:rsidRDefault="0073296A">
      <w:pPr>
        <w:pBdr>
          <w:top w:val="nil"/>
          <w:left w:val="nil"/>
          <w:bottom w:val="nil"/>
          <w:right w:val="nil"/>
          <w:between w:val="nil"/>
        </w:pBdr>
        <w:spacing w:line="256" w:lineRule="auto"/>
        <w:rPr>
          <w:sz w:val="20"/>
          <w:szCs w:val="20"/>
        </w:rPr>
      </w:pPr>
      <w:r>
        <w:rPr>
          <w:sz w:val="20"/>
          <w:szCs w:val="20"/>
        </w:rPr>
        <w:t>Director, Advanced Graduate Certificate Program for Aging Populations and Healthcare Administration; Assistant Professor, Department of Family, Population &amp; Preventive Medicine</w:t>
      </w:r>
    </w:p>
    <w:p w14:paraId="24EFDCB0" w14:textId="77777777" w:rsidR="00D81755" w:rsidRDefault="00D81755">
      <w:pPr>
        <w:pBdr>
          <w:top w:val="nil"/>
          <w:left w:val="nil"/>
          <w:bottom w:val="nil"/>
          <w:right w:val="nil"/>
          <w:between w:val="nil"/>
        </w:pBdr>
        <w:spacing w:line="256" w:lineRule="auto"/>
        <w:rPr>
          <w:sz w:val="20"/>
          <w:szCs w:val="20"/>
        </w:rPr>
      </w:pPr>
    </w:p>
    <w:p w14:paraId="24EFDCB1" w14:textId="77777777" w:rsidR="00D81755" w:rsidRDefault="0073296A">
      <w:pPr>
        <w:pBdr>
          <w:top w:val="nil"/>
          <w:left w:val="nil"/>
          <w:bottom w:val="nil"/>
          <w:right w:val="nil"/>
          <w:between w:val="nil"/>
        </w:pBdr>
        <w:spacing w:line="256" w:lineRule="auto"/>
        <w:rPr>
          <w:color w:val="000000"/>
          <w:sz w:val="20"/>
          <w:szCs w:val="20"/>
        </w:rPr>
      </w:pPr>
      <w:r>
        <w:rPr>
          <w:b/>
          <w:bCs/>
          <w:color w:val="000000"/>
          <w:sz w:val="20"/>
          <w:szCs w:val="20"/>
        </w:rPr>
        <w:t>Norman H. Edelman, MD</w:t>
      </w:r>
    </w:p>
    <w:p w14:paraId="24EFDCB2" w14:textId="77777777" w:rsidR="00D81755" w:rsidRDefault="0073296A">
      <w:pPr>
        <w:pBdr>
          <w:top w:val="nil"/>
          <w:left w:val="nil"/>
          <w:bottom w:val="nil"/>
          <w:right w:val="nil"/>
          <w:between w:val="nil"/>
        </w:pBdr>
        <w:rPr>
          <w:color w:val="000000"/>
          <w:sz w:val="20"/>
          <w:szCs w:val="20"/>
        </w:rPr>
      </w:pPr>
      <w:r>
        <w:rPr>
          <w:color w:val="000000"/>
          <w:sz w:val="20"/>
          <w:szCs w:val="20"/>
        </w:rPr>
        <w:t>Professor, Department of Family, Population &amp; Preventive Medicine; Internal Medicine</w:t>
      </w:r>
      <w:r>
        <w:rPr>
          <w:color w:val="000000"/>
          <w:sz w:val="20"/>
          <w:szCs w:val="20"/>
        </w:rPr>
        <w:tab/>
        <w:t xml:space="preserve"> </w:t>
      </w:r>
      <w:r>
        <w:rPr>
          <w:color w:val="000000"/>
          <w:sz w:val="20"/>
          <w:szCs w:val="20"/>
        </w:rPr>
        <w:tab/>
      </w:r>
    </w:p>
    <w:p w14:paraId="24EFDCB3" w14:textId="77777777" w:rsidR="00D81755" w:rsidRDefault="00D81755">
      <w:pPr>
        <w:pBdr>
          <w:top w:val="nil"/>
          <w:left w:val="nil"/>
          <w:bottom w:val="nil"/>
          <w:right w:val="nil"/>
          <w:between w:val="nil"/>
        </w:pBdr>
        <w:spacing w:line="256" w:lineRule="auto"/>
        <w:rPr>
          <w:b/>
          <w:bCs/>
          <w:color w:val="000000"/>
          <w:sz w:val="20"/>
          <w:szCs w:val="20"/>
        </w:rPr>
      </w:pPr>
    </w:p>
    <w:p w14:paraId="24EFDCB4" w14:textId="77777777" w:rsidR="00D81755" w:rsidRDefault="0073296A">
      <w:pPr>
        <w:pBdr>
          <w:top w:val="nil"/>
          <w:left w:val="nil"/>
          <w:bottom w:val="nil"/>
          <w:right w:val="nil"/>
          <w:between w:val="nil"/>
        </w:pBdr>
        <w:spacing w:line="256" w:lineRule="auto"/>
        <w:rPr>
          <w:b/>
          <w:bCs/>
          <w:color w:val="000000"/>
          <w:sz w:val="20"/>
          <w:szCs w:val="20"/>
        </w:rPr>
      </w:pPr>
      <w:r>
        <w:rPr>
          <w:b/>
          <w:bCs/>
          <w:color w:val="000000"/>
          <w:sz w:val="20"/>
          <w:szCs w:val="20"/>
        </w:rPr>
        <w:t>Andrew Flescher, PhD</w:t>
      </w:r>
    </w:p>
    <w:p w14:paraId="24EFDCB5" w14:textId="77777777" w:rsidR="00D81755" w:rsidRDefault="0073296A">
      <w:pPr>
        <w:pBdr>
          <w:top w:val="nil"/>
          <w:left w:val="nil"/>
          <w:bottom w:val="nil"/>
          <w:right w:val="nil"/>
          <w:between w:val="nil"/>
        </w:pBdr>
        <w:rPr>
          <w:color w:val="000000"/>
          <w:sz w:val="20"/>
          <w:szCs w:val="20"/>
        </w:rPr>
      </w:pPr>
      <w:r>
        <w:rPr>
          <w:color w:val="000000"/>
          <w:sz w:val="20"/>
          <w:szCs w:val="20"/>
        </w:rPr>
        <w:t xml:space="preserve">Professor, Department of Family, Population &amp; Preventive Medicine; English </w:t>
      </w:r>
    </w:p>
    <w:p w14:paraId="24EFDCB6" w14:textId="77777777" w:rsidR="00D81755" w:rsidRDefault="00D81755">
      <w:pPr>
        <w:pBdr>
          <w:top w:val="nil"/>
          <w:left w:val="nil"/>
          <w:bottom w:val="nil"/>
          <w:right w:val="nil"/>
          <w:between w:val="nil"/>
        </w:pBdr>
        <w:spacing w:line="256" w:lineRule="auto"/>
        <w:rPr>
          <w:b/>
          <w:bCs/>
          <w:color w:val="000000"/>
          <w:sz w:val="20"/>
          <w:szCs w:val="20"/>
        </w:rPr>
      </w:pPr>
    </w:p>
    <w:p w14:paraId="24EFDCB7" w14:textId="77777777" w:rsidR="00D81755" w:rsidRDefault="0073296A">
      <w:pPr>
        <w:spacing w:line="256" w:lineRule="auto"/>
        <w:rPr>
          <w:b/>
          <w:bCs/>
          <w:sz w:val="20"/>
          <w:szCs w:val="20"/>
        </w:rPr>
      </w:pPr>
      <w:r>
        <w:rPr>
          <w:b/>
          <w:bCs/>
          <w:sz w:val="20"/>
          <w:szCs w:val="20"/>
        </w:rPr>
        <w:t>Christine Freaney, PhD</w:t>
      </w:r>
    </w:p>
    <w:p w14:paraId="24EFDCB8" w14:textId="77777777" w:rsidR="00D81755" w:rsidRDefault="0073296A">
      <w:pPr>
        <w:spacing w:line="256" w:lineRule="auto"/>
        <w:rPr>
          <w:sz w:val="20"/>
          <w:szCs w:val="20"/>
        </w:rPr>
      </w:pPr>
      <w:r>
        <w:rPr>
          <w:sz w:val="20"/>
          <w:szCs w:val="20"/>
        </w:rPr>
        <w:t>Assistant Professor, Department of Family, Population &amp; Preventive Medicine</w:t>
      </w:r>
      <w:r>
        <w:rPr>
          <w:sz w:val="20"/>
          <w:szCs w:val="20"/>
        </w:rPr>
        <w:tab/>
      </w:r>
    </w:p>
    <w:p w14:paraId="24EFDCB9" w14:textId="77777777" w:rsidR="00D81755" w:rsidRDefault="00D81755">
      <w:pPr>
        <w:pBdr>
          <w:top w:val="nil"/>
          <w:left w:val="nil"/>
          <w:bottom w:val="nil"/>
          <w:right w:val="nil"/>
          <w:between w:val="nil"/>
        </w:pBdr>
        <w:spacing w:line="256" w:lineRule="auto"/>
        <w:rPr>
          <w:b/>
          <w:bCs/>
          <w:sz w:val="20"/>
          <w:szCs w:val="20"/>
        </w:rPr>
      </w:pPr>
    </w:p>
    <w:p w14:paraId="24EFDCBA" w14:textId="77777777" w:rsidR="00D81755" w:rsidRDefault="0073296A">
      <w:pPr>
        <w:pBdr>
          <w:top w:val="nil"/>
          <w:left w:val="nil"/>
          <w:bottom w:val="nil"/>
          <w:right w:val="nil"/>
          <w:between w:val="nil"/>
        </w:pBdr>
        <w:spacing w:line="256" w:lineRule="auto"/>
        <w:rPr>
          <w:color w:val="000000"/>
          <w:sz w:val="20"/>
          <w:szCs w:val="20"/>
        </w:rPr>
      </w:pPr>
      <w:r>
        <w:rPr>
          <w:b/>
          <w:bCs/>
          <w:color w:val="000000"/>
          <w:sz w:val="20"/>
          <w:szCs w:val="20"/>
        </w:rPr>
        <w:t>Lauren Hale, PhD</w:t>
      </w:r>
    </w:p>
    <w:p w14:paraId="24EFDCBB" w14:textId="77777777" w:rsidR="00D81755" w:rsidRDefault="0073296A">
      <w:pPr>
        <w:pBdr>
          <w:top w:val="nil"/>
          <w:left w:val="nil"/>
          <w:bottom w:val="nil"/>
          <w:right w:val="nil"/>
          <w:between w:val="nil"/>
        </w:pBdr>
        <w:rPr>
          <w:color w:val="000000"/>
          <w:sz w:val="20"/>
          <w:szCs w:val="20"/>
        </w:rPr>
      </w:pPr>
      <w:r>
        <w:rPr>
          <w:color w:val="000000"/>
          <w:sz w:val="20"/>
          <w:szCs w:val="20"/>
        </w:rPr>
        <w:t>Director, Faculty Development; Professor, Department of Family, Population &amp; Preventive Medicine</w:t>
      </w:r>
    </w:p>
    <w:p w14:paraId="24EFDCBC" w14:textId="77777777" w:rsidR="00D81755" w:rsidRDefault="00D81755">
      <w:pPr>
        <w:pBdr>
          <w:top w:val="nil"/>
          <w:left w:val="nil"/>
          <w:bottom w:val="nil"/>
          <w:right w:val="nil"/>
          <w:between w:val="nil"/>
        </w:pBdr>
        <w:spacing w:line="256" w:lineRule="auto"/>
        <w:rPr>
          <w:b/>
          <w:bCs/>
          <w:color w:val="000000"/>
          <w:sz w:val="20"/>
          <w:szCs w:val="20"/>
        </w:rPr>
      </w:pPr>
    </w:p>
    <w:p w14:paraId="24EFDCBD" w14:textId="77777777" w:rsidR="00D81755" w:rsidRDefault="0073296A">
      <w:pPr>
        <w:pBdr>
          <w:top w:val="nil"/>
          <w:left w:val="nil"/>
          <w:bottom w:val="nil"/>
          <w:right w:val="nil"/>
          <w:between w:val="nil"/>
        </w:pBdr>
        <w:spacing w:line="256" w:lineRule="auto"/>
        <w:rPr>
          <w:color w:val="000000"/>
          <w:sz w:val="20"/>
          <w:szCs w:val="20"/>
        </w:rPr>
      </w:pPr>
      <w:r>
        <w:rPr>
          <w:b/>
          <w:bCs/>
          <w:color w:val="000000"/>
          <w:sz w:val="20"/>
          <w:szCs w:val="20"/>
        </w:rPr>
        <w:t>Amy Hammock, PhD</w:t>
      </w:r>
    </w:p>
    <w:p w14:paraId="24EFDCBE" w14:textId="77777777" w:rsidR="00D81755" w:rsidRDefault="0073296A">
      <w:pPr>
        <w:pBdr>
          <w:top w:val="nil"/>
          <w:left w:val="nil"/>
          <w:bottom w:val="nil"/>
          <w:right w:val="nil"/>
          <w:between w:val="nil"/>
        </w:pBdr>
        <w:rPr>
          <w:color w:val="000000"/>
          <w:sz w:val="20"/>
          <w:szCs w:val="20"/>
        </w:rPr>
      </w:pPr>
      <w:bookmarkStart w:id="7" w:name="_heading=h.3dy6vkm" w:colFirst="0" w:colLast="0"/>
      <w:bookmarkEnd w:id="7"/>
      <w:r>
        <w:rPr>
          <w:color w:val="000000"/>
          <w:sz w:val="20"/>
          <w:szCs w:val="20"/>
        </w:rPr>
        <w:t>Associate Professor, School of Social Welfare, Faculty Advisor and Liaison to the MSW/MPH Dual-Degree Program</w:t>
      </w:r>
    </w:p>
    <w:p w14:paraId="24EFDCBF" w14:textId="77777777" w:rsidR="00D81755" w:rsidRDefault="00D81755">
      <w:pPr>
        <w:pBdr>
          <w:top w:val="nil"/>
          <w:left w:val="nil"/>
          <w:bottom w:val="nil"/>
          <w:right w:val="nil"/>
          <w:between w:val="nil"/>
        </w:pBdr>
        <w:rPr>
          <w:color w:val="000000"/>
          <w:sz w:val="20"/>
          <w:szCs w:val="20"/>
        </w:rPr>
      </w:pPr>
    </w:p>
    <w:p w14:paraId="24EFDCC0" w14:textId="77777777" w:rsidR="00D81755" w:rsidRDefault="0073296A">
      <w:pPr>
        <w:pBdr>
          <w:top w:val="nil"/>
          <w:left w:val="nil"/>
          <w:bottom w:val="nil"/>
          <w:right w:val="nil"/>
          <w:between w:val="nil"/>
        </w:pBdr>
        <w:rPr>
          <w:b/>
          <w:bCs/>
          <w:color w:val="000000"/>
          <w:sz w:val="20"/>
          <w:szCs w:val="20"/>
        </w:rPr>
      </w:pPr>
      <w:r>
        <w:rPr>
          <w:b/>
          <w:bCs/>
          <w:color w:val="000000"/>
          <w:sz w:val="20"/>
          <w:szCs w:val="20"/>
        </w:rPr>
        <w:t>Douglas Hanes, PhD</w:t>
      </w:r>
    </w:p>
    <w:p w14:paraId="24EFDCC1" w14:textId="77777777" w:rsidR="00D81755" w:rsidRDefault="0073296A">
      <w:pPr>
        <w:pBdr>
          <w:top w:val="nil"/>
          <w:left w:val="nil"/>
          <w:bottom w:val="nil"/>
          <w:right w:val="nil"/>
          <w:between w:val="nil"/>
        </w:pBdr>
        <w:rPr>
          <w:color w:val="000000"/>
          <w:sz w:val="20"/>
          <w:szCs w:val="20"/>
        </w:rPr>
      </w:pPr>
      <w:r>
        <w:rPr>
          <w:color w:val="000000"/>
          <w:sz w:val="20"/>
          <w:szCs w:val="20"/>
        </w:rPr>
        <w:t>Lecturer, Department of Family, Population &amp; Preventive Medicine</w:t>
      </w:r>
    </w:p>
    <w:p w14:paraId="24EFDCC2" w14:textId="77777777" w:rsidR="00D81755" w:rsidRDefault="00D81755">
      <w:pPr>
        <w:pBdr>
          <w:top w:val="nil"/>
          <w:left w:val="nil"/>
          <w:bottom w:val="nil"/>
          <w:right w:val="nil"/>
          <w:between w:val="nil"/>
        </w:pBdr>
        <w:rPr>
          <w:b/>
          <w:bCs/>
          <w:color w:val="000000"/>
          <w:sz w:val="20"/>
          <w:szCs w:val="20"/>
        </w:rPr>
      </w:pPr>
    </w:p>
    <w:p w14:paraId="24EFDCC3" w14:textId="77777777" w:rsidR="00D81755" w:rsidRDefault="0073296A">
      <w:pPr>
        <w:pBdr>
          <w:top w:val="nil"/>
          <w:left w:val="nil"/>
          <w:bottom w:val="nil"/>
          <w:right w:val="nil"/>
          <w:between w:val="nil"/>
        </w:pBdr>
        <w:rPr>
          <w:b/>
          <w:bCs/>
          <w:color w:val="000000"/>
          <w:sz w:val="20"/>
          <w:szCs w:val="20"/>
        </w:rPr>
      </w:pPr>
      <w:r>
        <w:rPr>
          <w:b/>
          <w:bCs/>
          <w:color w:val="000000"/>
          <w:sz w:val="20"/>
          <w:szCs w:val="20"/>
        </w:rPr>
        <w:t>Guanyu Huang, PhD</w:t>
      </w:r>
    </w:p>
    <w:p w14:paraId="24EFDCC4" w14:textId="77777777" w:rsidR="00D81755" w:rsidRDefault="0073296A">
      <w:pPr>
        <w:pBdr>
          <w:top w:val="nil"/>
          <w:left w:val="nil"/>
          <w:bottom w:val="nil"/>
          <w:right w:val="nil"/>
          <w:between w:val="nil"/>
        </w:pBdr>
        <w:rPr>
          <w:color w:val="000000"/>
          <w:sz w:val="20"/>
          <w:szCs w:val="20"/>
        </w:rPr>
      </w:pPr>
      <w:r>
        <w:rPr>
          <w:color w:val="000000"/>
          <w:sz w:val="20"/>
          <w:szCs w:val="20"/>
        </w:rPr>
        <w:t>Assistant Professor, Department of Family, Population &amp; Preventive Medicine</w:t>
      </w:r>
    </w:p>
    <w:p w14:paraId="24EFDCC5" w14:textId="77777777" w:rsidR="00D81755" w:rsidRDefault="00D81755">
      <w:pPr>
        <w:pBdr>
          <w:top w:val="nil"/>
          <w:left w:val="nil"/>
          <w:bottom w:val="nil"/>
          <w:right w:val="nil"/>
          <w:between w:val="nil"/>
        </w:pBdr>
        <w:spacing w:line="256" w:lineRule="auto"/>
        <w:rPr>
          <w:b/>
          <w:bCs/>
          <w:color w:val="000000"/>
          <w:sz w:val="20"/>
          <w:szCs w:val="20"/>
          <w:highlight w:val="yellow"/>
        </w:rPr>
      </w:pPr>
    </w:p>
    <w:p w14:paraId="24EFDCC6" w14:textId="77777777" w:rsidR="00D81755" w:rsidRDefault="0073296A">
      <w:pPr>
        <w:pBdr>
          <w:top w:val="nil"/>
          <w:left w:val="nil"/>
          <w:bottom w:val="nil"/>
          <w:right w:val="nil"/>
          <w:between w:val="nil"/>
        </w:pBdr>
        <w:spacing w:line="256" w:lineRule="auto"/>
        <w:rPr>
          <w:color w:val="000000"/>
          <w:sz w:val="20"/>
          <w:szCs w:val="20"/>
        </w:rPr>
      </w:pPr>
      <w:r>
        <w:rPr>
          <w:b/>
          <w:bCs/>
          <w:color w:val="000000"/>
          <w:sz w:val="20"/>
          <w:szCs w:val="20"/>
        </w:rPr>
        <w:t>Rachel Kidman, PhD</w:t>
      </w:r>
    </w:p>
    <w:p w14:paraId="24EFDCC7" w14:textId="77777777" w:rsidR="00D81755" w:rsidRDefault="0073296A">
      <w:pPr>
        <w:pBdr>
          <w:top w:val="nil"/>
          <w:left w:val="nil"/>
          <w:bottom w:val="nil"/>
          <w:right w:val="nil"/>
          <w:between w:val="nil"/>
        </w:pBdr>
        <w:rPr>
          <w:color w:val="000000"/>
          <w:sz w:val="20"/>
          <w:szCs w:val="20"/>
        </w:rPr>
      </w:pPr>
      <w:r>
        <w:rPr>
          <w:sz w:val="20"/>
          <w:szCs w:val="20"/>
        </w:rPr>
        <w:t>Director, Doctoral Studies</w:t>
      </w:r>
      <w:r>
        <w:rPr>
          <w:color w:val="000000"/>
          <w:sz w:val="20"/>
          <w:szCs w:val="20"/>
        </w:rPr>
        <w:t>;</w:t>
      </w:r>
      <w:r>
        <w:rPr>
          <w:sz w:val="20"/>
          <w:szCs w:val="20"/>
        </w:rPr>
        <w:t xml:space="preserve"> </w:t>
      </w:r>
      <w:r>
        <w:rPr>
          <w:color w:val="000000"/>
          <w:sz w:val="20"/>
          <w:szCs w:val="20"/>
        </w:rPr>
        <w:t xml:space="preserve">Professor, Department of Family, Population &amp; Preventive Medicine </w:t>
      </w:r>
    </w:p>
    <w:p w14:paraId="24EFDCC8" w14:textId="77777777" w:rsidR="00D81755" w:rsidRDefault="00D81755">
      <w:pPr>
        <w:pBdr>
          <w:top w:val="nil"/>
          <w:left w:val="nil"/>
          <w:bottom w:val="nil"/>
          <w:right w:val="nil"/>
          <w:between w:val="nil"/>
        </w:pBdr>
        <w:spacing w:line="256" w:lineRule="auto"/>
        <w:rPr>
          <w:b/>
          <w:bCs/>
          <w:color w:val="000000"/>
          <w:sz w:val="20"/>
          <w:szCs w:val="20"/>
        </w:rPr>
      </w:pPr>
    </w:p>
    <w:p w14:paraId="24EFDCC9" w14:textId="77777777" w:rsidR="00D81755" w:rsidRDefault="0073296A">
      <w:pPr>
        <w:pBdr>
          <w:top w:val="nil"/>
          <w:left w:val="nil"/>
          <w:bottom w:val="nil"/>
          <w:right w:val="nil"/>
          <w:between w:val="nil"/>
        </w:pBdr>
        <w:spacing w:line="256" w:lineRule="auto"/>
        <w:rPr>
          <w:b/>
          <w:bCs/>
          <w:color w:val="000000"/>
          <w:sz w:val="20"/>
          <w:szCs w:val="20"/>
        </w:rPr>
      </w:pPr>
      <w:r>
        <w:rPr>
          <w:b/>
          <w:bCs/>
          <w:color w:val="000000"/>
          <w:sz w:val="20"/>
          <w:szCs w:val="20"/>
        </w:rPr>
        <w:t>Jaymie R. Meliker, PhD</w:t>
      </w:r>
    </w:p>
    <w:p w14:paraId="24EFDCCA" w14:textId="77777777" w:rsidR="00D81755" w:rsidRDefault="0073296A">
      <w:pPr>
        <w:pBdr>
          <w:top w:val="nil"/>
          <w:left w:val="nil"/>
          <w:bottom w:val="nil"/>
          <w:right w:val="nil"/>
          <w:between w:val="nil"/>
        </w:pBdr>
        <w:rPr>
          <w:color w:val="000000"/>
          <w:sz w:val="20"/>
          <w:szCs w:val="20"/>
        </w:rPr>
      </w:pPr>
      <w:r>
        <w:rPr>
          <w:sz w:val="20"/>
          <w:szCs w:val="20"/>
        </w:rPr>
        <w:t>Climate</w:t>
      </w:r>
      <w:r>
        <w:rPr>
          <w:color w:val="000000"/>
          <w:sz w:val="20"/>
          <w:szCs w:val="20"/>
        </w:rPr>
        <w:t xml:space="preserve"> </w:t>
      </w:r>
      <w:r>
        <w:rPr>
          <w:sz w:val="20"/>
          <w:szCs w:val="20"/>
        </w:rPr>
        <w:t>Solutions</w:t>
      </w:r>
      <w:r>
        <w:rPr>
          <w:color w:val="000000"/>
          <w:sz w:val="20"/>
          <w:szCs w:val="20"/>
        </w:rPr>
        <w:t xml:space="preserve"> and Health Concentration Head, Master of Public Health Program; Professor, Department of Family, Population &amp; Preventive Medicine</w:t>
      </w:r>
      <w:r>
        <w:rPr>
          <w:color w:val="000000"/>
          <w:sz w:val="20"/>
          <w:szCs w:val="20"/>
        </w:rPr>
        <w:br/>
      </w:r>
    </w:p>
    <w:p w14:paraId="24EFDCCB" w14:textId="77777777" w:rsidR="00D81755" w:rsidRDefault="0073296A">
      <w:pPr>
        <w:pBdr>
          <w:top w:val="nil"/>
          <w:left w:val="nil"/>
          <w:bottom w:val="nil"/>
          <w:right w:val="nil"/>
          <w:between w:val="nil"/>
        </w:pBdr>
        <w:spacing w:line="256" w:lineRule="auto"/>
        <w:rPr>
          <w:b/>
          <w:bCs/>
          <w:color w:val="000000"/>
          <w:sz w:val="20"/>
          <w:szCs w:val="20"/>
        </w:rPr>
      </w:pPr>
      <w:r>
        <w:rPr>
          <w:b/>
          <w:bCs/>
          <w:color w:val="000000"/>
          <w:sz w:val="20"/>
          <w:szCs w:val="20"/>
        </w:rPr>
        <w:t>Minghao Qiu, PhD</w:t>
      </w:r>
    </w:p>
    <w:p w14:paraId="24EFDCCC" w14:textId="77777777" w:rsidR="00D81755" w:rsidRDefault="0073296A">
      <w:pPr>
        <w:pBdr>
          <w:top w:val="nil"/>
          <w:left w:val="nil"/>
          <w:bottom w:val="nil"/>
          <w:right w:val="nil"/>
          <w:between w:val="nil"/>
        </w:pBdr>
        <w:spacing w:line="256" w:lineRule="auto"/>
        <w:rPr>
          <w:color w:val="000000"/>
          <w:sz w:val="20"/>
          <w:szCs w:val="20"/>
        </w:rPr>
      </w:pPr>
      <w:r>
        <w:rPr>
          <w:color w:val="000000"/>
          <w:sz w:val="20"/>
          <w:szCs w:val="20"/>
        </w:rPr>
        <w:t xml:space="preserve">Assistant Professor, School of Marine and </w:t>
      </w:r>
      <w:r>
        <w:rPr>
          <w:sz w:val="20"/>
          <w:szCs w:val="20"/>
        </w:rPr>
        <w:t>Atmospheric</w:t>
      </w:r>
      <w:r>
        <w:rPr>
          <w:color w:val="000000"/>
          <w:sz w:val="20"/>
          <w:szCs w:val="20"/>
        </w:rPr>
        <w:t xml:space="preserve"> Sciences</w:t>
      </w:r>
    </w:p>
    <w:p w14:paraId="24EFDCCD" w14:textId="77777777" w:rsidR="00D81755" w:rsidRDefault="00D81755">
      <w:pPr>
        <w:pBdr>
          <w:top w:val="nil"/>
          <w:left w:val="nil"/>
          <w:bottom w:val="nil"/>
          <w:right w:val="nil"/>
          <w:between w:val="nil"/>
        </w:pBdr>
        <w:spacing w:line="256" w:lineRule="auto"/>
        <w:rPr>
          <w:b/>
          <w:bCs/>
          <w:color w:val="000000"/>
          <w:sz w:val="20"/>
          <w:szCs w:val="20"/>
        </w:rPr>
      </w:pPr>
    </w:p>
    <w:p w14:paraId="24EFDCCE" w14:textId="77777777" w:rsidR="00D81755" w:rsidRDefault="0073296A">
      <w:pPr>
        <w:pBdr>
          <w:top w:val="nil"/>
          <w:left w:val="nil"/>
          <w:bottom w:val="nil"/>
          <w:right w:val="nil"/>
          <w:between w:val="nil"/>
        </w:pBdr>
        <w:spacing w:line="256" w:lineRule="auto"/>
        <w:rPr>
          <w:b/>
          <w:bCs/>
          <w:color w:val="000000"/>
          <w:sz w:val="20"/>
          <w:szCs w:val="20"/>
        </w:rPr>
      </w:pPr>
      <w:r>
        <w:rPr>
          <w:b/>
          <w:bCs/>
          <w:color w:val="000000"/>
          <w:sz w:val="20"/>
          <w:szCs w:val="20"/>
        </w:rPr>
        <w:t>John A. Rizzo, PhD</w:t>
      </w:r>
    </w:p>
    <w:p w14:paraId="24EFDCCF" w14:textId="77777777" w:rsidR="00D81755" w:rsidRDefault="0073296A">
      <w:pPr>
        <w:pBdr>
          <w:top w:val="nil"/>
          <w:left w:val="nil"/>
          <w:bottom w:val="nil"/>
          <w:right w:val="nil"/>
          <w:between w:val="nil"/>
        </w:pBdr>
        <w:rPr>
          <w:color w:val="000000"/>
          <w:sz w:val="20"/>
          <w:szCs w:val="20"/>
        </w:rPr>
      </w:pPr>
      <w:r>
        <w:rPr>
          <w:color w:val="000000"/>
          <w:sz w:val="20"/>
          <w:szCs w:val="20"/>
        </w:rPr>
        <w:t>Professor, Department of Family, Population &amp; Preventive Medicine</w:t>
      </w:r>
      <w:r>
        <w:rPr>
          <w:color w:val="000000"/>
          <w:sz w:val="20"/>
          <w:szCs w:val="20"/>
        </w:rPr>
        <w:tab/>
        <w:t xml:space="preserve"> </w:t>
      </w:r>
      <w:r>
        <w:rPr>
          <w:color w:val="000000"/>
          <w:sz w:val="20"/>
          <w:szCs w:val="20"/>
        </w:rPr>
        <w:tab/>
      </w:r>
      <w:r>
        <w:rPr>
          <w:color w:val="000000"/>
          <w:sz w:val="20"/>
          <w:szCs w:val="20"/>
        </w:rPr>
        <w:tab/>
      </w:r>
    </w:p>
    <w:p w14:paraId="24EFDCD0" w14:textId="77777777" w:rsidR="00D81755" w:rsidRDefault="00D81755">
      <w:pPr>
        <w:pBdr>
          <w:top w:val="nil"/>
          <w:left w:val="nil"/>
          <w:bottom w:val="nil"/>
          <w:right w:val="nil"/>
          <w:between w:val="nil"/>
        </w:pBdr>
        <w:spacing w:line="256" w:lineRule="auto"/>
        <w:rPr>
          <w:b/>
          <w:bCs/>
          <w:color w:val="000000"/>
          <w:sz w:val="20"/>
          <w:szCs w:val="20"/>
        </w:rPr>
      </w:pPr>
    </w:p>
    <w:p w14:paraId="24EFDCD1" w14:textId="77777777" w:rsidR="00D81755" w:rsidRDefault="0073296A">
      <w:pPr>
        <w:pBdr>
          <w:top w:val="nil"/>
          <w:left w:val="nil"/>
          <w:bottom w:val="nil"/>
          <w:right w:val="nil"/>
          <w:between w:val="nil"/>
        </w:pBdr>
        <w:spacing w:line="256" w:lineRule="auto"/>
        <w:rPr>
          <w:b/>
          <w:bCs/>
          <w:sz w:val="20"/>
          <w:szCs w:val="20"/>
        </w:rPr>
      </w:pPr>
      <w:r>
        <w:rPr>
          <w:b/>
          <w:bCs/>
          <w:sz w:val="20"/>
          <w:szCs w:val="20"/>
        </w:rPr>
        <w:lastRenderedPageBreak/>
        <w:t>Laura Sampson, PhD</w:t>
      </w:r>
    </w:p>
    <w:p w14:paraId="24EFDCD2" w14:textId="77777777" w:rsidR="00D81755" w:rsidRDefault="0073296A">
      <w:pPr>
        <w:pBdr>
          <w:top w:val="nil"/>
          <w:left w:val="nil"/>
          <w:bottom w:val="nil"/>
          <w:right w:val="nil"/>
          <w:between w:val="nil"/>
        </w:pBdr>
        <w:spacing w:line="256" w:lineRule="auto"/>
        <w:rPr>
          <w:sz w:val="20"/>
          <w:szCs w:val="20"/>
        </w:rPr>
      </w:pPr>
      <w:r>
        <w:rPr>
          <w:sz w:val="20"/>
          <w:szCs w:val="20"/>
        </w:rPr>
        <w:t>Assistant Professor, Department of Family, Population &amp; Preventive Medicine</w:t>
      </w:r>
      <w:r>
        <w:rPr>
          <w:sz w:val="20"/>
          <w:szCs w:val="20"/>
        </w:rPr>
        <w:tab/>
      </w:r>
    </w:p>
    <w:p w14:paraId="24EFDCD3" w14:textId="77777777" w:rsidR="00D81755" w:rsidRDefault="00D81755">
      <w:pPr>
        <w:pBdr>
          <w:top w:val="nil"/>
          <w:left w:val="nil"/>
          <w:bottom w:val="nil"/>
          <w:right w:val="nil"/>
          <w:between w:val="nil"/>
        </w:pBdr>
        <w:spacing w:line="256" w:lineRule="auto"/>
        <w:rPr>
          <w:sz w:val="20"/>
          <w:szCs w:val="20"/>
        </w:rPr>
      </w:pPr>
    </w:p>
    <w:p w14:paraId="24EFDCD4" w14:textId="77777777" w:rsidR="00D81755" w:rsidRDefault="0073296A">
      <w:pPr>
        <w:pBdr>
          <w:top w:val="nil"/>
          <w:left w:val="nil"/>
          <w:bottom w:val="nil"/>
          <w:right w:val="nil"/>
          <w:between w:val="nil"/>
        </w:pBdr>
        <w:spacing w:line="256" w:lineRule="auto"/>
        <w:rPr>
          <w:b/>
          <w:bCs/>
          <w:sz w:val="20"/>
          <w:szCs w:val="20"/>
        </w:rPr>
      </w:pPr>
      <w:r>
        <w:rPr>
          <w:b/>
          <w:bCs/>
          <w:sz w:val="20"/>
          <w:szCs w:val="20"/>
        </w:rPr>
        <w:t>Marie Sillice, PhD</w:t>
      </w:r>
    </w:p>
    <w:p w14:paraId="24EFDCD5" w14:textId="77777777" w:rsidR="00D81755" w:rsidRDefault="0073296A">
      <w:pPr>
        <w:rPr>
          <w:sz w:val="20"/>
          <w:szCs w:val="20"/>
        </w:rPr>
      </w:pPr>
      <w:r>
        <w:rPr>
          <w:sz w:val="20"/>
          <w:szCs w:val="20"/>
        </w:rPr>
        <w:t>Assistant Professor, Department of Family, Population &amp; Preventive Medicine</w:t>
      </w:r>
      <w:r>
        <w:rPr>
          <w:sz w:val="20"/>
          <w:szCs w:val="20"/>
        </w:rPr>
        <w:tab/>
      </w:r>
    </w:p>
    <w:p w14:paraId="24EFDCD6" w14:textId="77777777" w:rsidR="00D81755" w:rsidRDefault="00D81755">
      <w:pPr>
        <w:rPr>
          <w:sz w:val="20"/>
          <w:szCs w:val="20"/>
        </w:rPr>
      </w:pPr>
    </w:p>
    <w:p w14:paraId="24EFDCD7" w14:textId="77777777" w:rsidR="00D81755" w:rsidRDefault="0073296A">
      <w:pPr>
        <w:pBdr>
          <w:top w:val="nil"/>
          <w:left w:val="nil"/>
          <w:bottom w:val="nil"/>
          <w:right w:val="nil"/>
          <w:between w:val="nil"/>
        </w:pBdr>
        <w:spacing w:line="256" w:lineRule="auto"/>
        <w:rPr>
          <w:b/>
          <w:bCs/>
          <w:color w:val="000000"/>
          <w:sz w:val="20"/>
          <w:szCs w:val="20"/>
        </w:rPr>
      </w:pPr>
      <w:r>
        <w:rPr>
          <w:b/>
          <w:bCs/>
          <w:color w:val="000000"/>
          <w:sz w:val="20"/>
          <w:szCs w:val="20"/>
        </w:rPr>
        <w:t>Dylan Smith, PhD</w:t>
      </w:r>
    </w:p>
    <w:p w14:paraId="24EFDCD8" w14:textId="77777777" w:rsidR="00D81755" w:rsidRDefault="0073296A">
      <w:pPr>
        <w:pBdr>
          <w:top w:val="nil"/>
          <w:left w:val="nil"/>
          <w:bottom w:val="nil"/>
          <w:right w:val="nil"/>
          <w:between w:val="nil"/>
        </w:pBdr>
        <w:rPr>
          <w:sz w:val="20"/>
          <w:szCs w:val="20"/>
        </w:rPr>
      </w:pPr>
      <w:r>
        <w:rPr>
          <w:color w:val="000000"/>
          <w:sz w:val="20"/>
          <w:szCs w:val="20"/>
        </w:rPr>
        <w:t>Director, Master of Public Health Program; Professor, Department of Family, Population &amp; Preventive Medicin</w:t>
      </w:r>
      <w:r>
        <w:rPr>
          <w:sz w:val="20"/>
          <w:szCs w:val="20"/>
        </w:rPr>
        <w:t>e</w:t>
      </w:r>
    </w:p>
    <w:p w14:paraId="24EFDCD9" w14:textId="77777777" w:rsidR="00D81755" w:rsidRDefault="00D81755">
      <w:pPr>
        <w:pBdr>
          <w:top w:val="nil"/>
          <w:left w:val="nil"/>
          <w:bottom w:val="nil"/>
          <w:right w:val="nil"/>
          <w:between w:val="nil"/>
        </w:pBdr>
        <w:rPr>
          <w:sz w:val="20"/>
          <w:szCs w:val="20"/>
        </w:rPr>
      </w:pPr>
    </w:p>
    <w:p w14:paraId="24EFDCDA" w14:textId="77777777" w:rsidR="00D81755" w:rsidRDefault="0073296A">
      <w:pPr>
        <w:pBdr>
          <w:top w:val="nil"/>
          <w:left w:val="nil"/>
          <w:bottom w:val="nil"/>
          <w:right w:val="nil"/>
          <w:between w:val="nil"/>
        </w:pBdr>
        <w:spacing w:after="160" w:line="256" w:lineRule="auto"/>
        <w:rPr>
          <w:color w:val="000000"/>
          <w:sz w:val="20"/>
          <w:szCs w:val="20"/>
        </w:rPr>
      </w:pPr>
      <w:r>
        <w:rPr>
          <w:b/>
          <w:bCs/>
          <w:color w:val="000000"/>
          <w:sz w:val="20"/>
          <w:szCs w:val="20"/>
        </w:rPr>
        <w:t>Susan Somerville, RN, MA</w:t>
      </w:r>
      <w:r>
        <w:rPr>
          <w:color w:val="000000"/>
          <w:sz w:val="20"/>
          <w:szCs w:val="20"/>
        </w:rPr>
        <w:t xml:space="preserve"> </w:t>
      </w:r>
      <w:r>
        <w:rPr>
          <w:sz w:val="20"/>
          <w:szCs w:val="20"/>
        </w:rPr>
        <w:br/>
      </w:r>
      <w:r>
        <w:rPr>
          <w:color w:val="000000"/>
          <w:sz w:val="20"/>
          <w:szCs w:val="20"/>
        </w:rPr>
        <w:t>Associate Director, Health Policy &amp; Management Practice; Instructor, Department of Family, Population &amp; Preventive Medicine</w:t>
      </w:r>
    </w:p>
    <w:p w14:paraId="24EFDCDB" w14:textId="77777777" w:rsidR="00D81755" w:rsidRDefault="0073296A">
      <w:pPr>
        <w:pBdr>
          <w:top w:val="nil"/>
          <w:left w:val="nil"/>
          <w:bottom w:val="nil"/>
          <w:right w:val="nil"/>
          <w:between w:val="nil"/>
        </w:pBdr>
        <w:spacing w:after="160" w:line="256" w:lineRule="auto"/>
        <w:rPr>
          <w:sz w:val="20"/>
          <w:szCs w:val="20"/>
        </w:rPr>
      </w:pPr>
      <w:r>
        <w:rPr>
          <w:b/>
          <w:bCs/>
          <w:sz w:val="20"/>
          <w:szCs w:val="20"/>
        </w:rPr>
        <w:t>Lesley Tomaszewski, PhD</w:t>
      </w:r>
      <w:r>
        <w:rPr>
          <w:b/>
          <w:bCs/>
          <w:sz w:val="20"/>
          <w:szCs w:val="20"/>
        </w:rPr>
        <w:br/>
      </w:r>
      <w:r>
        <w:rPr>
          <w:sz w:val="20"/>
          <w:szCs w:val="20"/>
        </w:rPr>
        <w:t>Director, Master of Health Administration; Health Policy and Management Concentration Head, Master of Public Health Program; Research Associate Professor, Department of Family, Population &amp; Preventive Medicine</w:t>
      </w:r>
    </w:p>
    <w:p w14:paraId="24EFDCDC" w14:textId="77777777" w:rsidR="00D81755" w:rsidRDefault="00D81755">
      <w:pPr>
        <w:pBdr>
          <w:top w:val="nil"/>
          <w:left w:val="nil"/>
          <w:bottom w:val="nil"/>
          <w:right w:val="nil"/>
          <w:between w:val="nil"/>
        </w:pBdr>
        <w:spacing w:after="160" w:line="256" w:lineRule="auto"/>
        <w:rPr>
          <w:sz w:val="20"/>
          <w:szCs w:val="20"/>
        </w:rPr>
      </w:pPr>
    </w:p>
    <w:p w14:paraId="24EFDCDD" w14:textId="77777777" w:rsidR="00D81755" w:rsidRDefault="0073296A">
      <w:pPr>
        <w:pStyle w:val="Heading2"/>
        <w:rPr>
          <w:i/>
          <w:iCs/>
        </w:rPr>
      </w:pPr>
      <w:bookmarkStart w:id="8" w:name="_heading=h.8zejml4cwjad" w:colFirst="0" w:colLast="0"/>
      <w:bookmarkEnd w:id="8"/>
      <w:r>
        <w:t>MPH CONCENTRATION HEADS</w:t>
      </w:r>
    </w:p>
    <w:p w14:paraId="24EFDCDE" w14:textId="77777777" w:rsidR="00D81755" w:rsidRDefault="00D81755">
      <w:pPr>
        <w:pBdr>
          <w:top w:val="nil"/>
          <w:left w:val="nil"/>
          <w:bottom w:val="nil"/>
          <w:right w:val="nil"/>
          <w:between w:val="nil"/>
        </w:pBdr>
        <w:spacing w:line="256" w:lineRule="auto"/>
        <w:rPr>
          <w:b/>
          <w:bCs/>
          <w:color w:val="000000"/>
          <w:sz w:val="16"/>
          <w:szCs w:val="16"/>
        </w:rPr>
      </w:pPr>
    </w:p>
    <w:p w14:paraId="24EFDCDF" w14:textId="77777777" w:rsidR="00D81755" w:rsidRDefault="0073296A">
      <w:pPr>
        <w:pBdr>
          <w:top w:val="nil"/>
          <w:left w:val="nil"/>
          <w:bottom w:val="nil"/>
          <w:right w:val="nil"/>
          <w:between w:val="nil"/>
        </w:pBdr>
        <w:spacing w:line="256" w:lineRule="auto"/>
        <w:rPr>
          <w:b/>
          <w:bCs/>
          <w:color w:val="000000"/>
          <w:sz w:val="20"/>
          <w:szCs w:val="20"/>
        </w:rPr>
      </w:pPr>
      <w:r>
        <w:rPr>
          <w:b/>
          <w:bCs/>
          <w:color w:val="000000"/>
          <w:sz w:val="20"/>
          <w:szCs w:val="20"/>
        </w:rPr>
        <w:t xml:space="preserve">Mahdieh Danesh Yazdi, PhD – </w:t>
      </w:r>
      <w:r>
        <w:rPr>
          <w:color w:val="000000"/>
          <w:sz w:val="20"/>
          <w:szCs w:val="20"/>
        </w:rPr>
        <w:t>Epidemiology &amp; Biostatistics</w:t>
      </w:r>
      <w:r>
        <w:rPr>
          <w:color w:val="000000"/>
          <w:sz w:val="20"/>
          <w:szCs w:val="20"/>
        </w:rPr>
        <w:br/>
      </w:r>
    </w:p>
    <w:p w14:paraId="24EFDCE0" w14:textId="77777777" w:rsidR="00D81755" w:rsidRDefault="0073296A">
      <w:pPr>
        <w:pBdr>
          <w:top w:val="nil"/>
          <w:left w:val="nil"/>
          <w:bottom w:val="nil"/>
          <w:right w:val="nil"/>
          <w:between w:val="nil"/>
        </w:pBdr>
        <w:spacing w:line="256" w:lineRule="auto"/>
        <w:rPr>
          <w:color w:val="000000"/>
          <w:sz w:val="20"/>
          <w:szCs w:val="20"/>
        </w:rPr>
      </w:pPr>
      <w:bookmarkStart w:id="9" w:name="_heading=h.4d34og8" w:colFirst="0" w:colLast="0"/>
      <w:bookmarkEnd w:id="9"/>
      <w:r>
        <w:rPr>
          <w:b/>
          <w:bCs/>
          <w:color w:val="000000"/>
          <w:sz w:val="20"/>
          <w:szCs w:val="20"/>
        </w:rPr>
        <w:t>Yuri T. Jadotte, MD, PhD, MPH</w:t>
      </w:r>
      <w:r>
        <w:rPr>
          <w:color w:val="000000"/>
          <w:sz w:val="20"/>
          <w:szCs w:val="20"/>
        </w:rPr>
        <w:t xml:space="preserve"> – Generalist</w:t>
      </w:r>
    </w:p>
    <w:p w14:paraId="24EFDCE1" w14:textId="77777777" w:rsidR="00D81755" w:rsidRDefault="00D81755">
      <w:pPr>
        <w:pBdr>
          <w:top w:val="nil"/>
          <w:left w:val="nil"/>
          <w:bottom w:val="nil"/>
          <w:right w:val="nil"/>
          <w:between w:val="nil"/>
        </w:pBdr>
        <w:spacing w:line="256" w:lineRule="auto"/>
        <w:rPr>
          <w:b/>
          <w:bCs/>
          <w:color w:val="000000"/>
          <w:sz w:val="20"/>
          <w:szCs w:val="20"/>
        </w:rPr>
      </w:pPr>
    </w:p>
    <w:p w14:paraId="24EFDCE2" w14:textId="77777777" w:rsidR="00D81755" w:rsidRDefault="0073296A">
      <w:pPr>
        <w:pBdr>
          <w:top w:val="nil"/>
          <w:left w:val="nil"/>
          <w:bottom w:val="nil"/>
          <w:right w:val="nil"/>
          <w:between w:val="nil"/>
        </w:pBdr>
        <w:spacing w:line="256" w:lineRule="auto"/>
        <w:rPr>
          <w:color w:val="000000"/>
          <w:sz w:val="20"/>
          <w:szCs w:val="20"/>
        </w:rPr>
      </w:pPr>
      <w:r>
        <w:rPr>
          <w:b/>
          <w:bCs/>
          <w:sz w:val="20"/>
          <w:szCs w:val="20"/>
        </w:rPr>
        <w:t xml:space="preserve">Michele Bayley, MPH, MCHES </w:t>
      </w:r>
      <w:r>
        <w:rPr>
          <w:b/>
          <w:bCs/>
          <w:color w:val="000000"/>
          <w:sz w:val="20"/>
          <w:szCs w:val="20"/>
        </w:rPr>
        <w:t xml:space="preserve">- </w:t>
      </w:r>
      <w:r>
        <w:rPr>
          <w:color w:val="000000"/>
          <w:sz w:val="20"/>
          <w:szCs w:val="20"/>
        </w:rPr>
        <w:t>Community Health</w:t>
      </w:r>
    </w:p>
    <w:p w14:paraId="24EFDCE3" w14:textId="77777777" w:rsidR="00D81755" w:rsidRDefault="00D81755">
      <w:pPr>
        <w:pBdr>
          <w:top w:val="nil"/>
          <w:left w:val="nil"/>
          <w:bottom w:val="nil"/>
          <w:right w:val="nil"/>
          <w:between w:val="nil"/>
        </w:pBdr>
        <w:spacing w:line="256" w:lineRule="auto"/>
        <w:rPr>
          <w:b/>
          <w:bCs/>
          <w:color w:val="000000"/>
          <w:sz w:val="20"/>
          <w:szCs w:val="20"/>
        </w:rPr>
      </w:pPr>
    </w:p>
    <w:p w14:paraId="24EFDCE4" w14:textId="77777777" w:rsidR="00D81755" w:rsidRDefault="0073296A">
      <w:pPr>
        <w:pBdr>
          <w:top w:val="nil"/>
          <w:left w:val="nil"/>
          <w:bottom w:val="nil"/>
          <w:right w:val="nil"/>
          <w:between w:val="nil"/>
        </w:pBdr>
        <w:spacing w:line="256" w:lineRule="auto"/>
        <w:rPr>
          <w:b/>
          <w:bCs/>
          <w:color w:val="000000"/>
          <w:sz w:val="20"/>
          <w:szCs w:val="20"/>
        </w:rPr>
      </w:pPr>
      <w:r>
        <w:rPr>
          <w:b/>
          <w:bCs/>
          <w:color w:val="000000"/>
          <w:sz w:val="20"/>
          <w:szCs w:val="20"/>
        </w:rPr>
        <w:t xml:space="preserve">Jaymie R. Meliker, Ph.D. – </w:t>
      </w:r>
      <w:r>
        <w:rPr>
          <w:color w:val="000000"/>
          <w:sz w:val="20"/>
          <w:szCs w:val="20"/>
        </w:rPr>
        <w:t>Climate Solutions and Health</w:t>
      </w:r>
      <w:r>
        <w:rPr>
          <w:b/>
          <w:bCs/>
          <w:color w:val="000000"/>
          <w:sz w:val="20"/>
          <w:szCs w:val="20"/>
        </w:rPr>
        <w:br/>
      </w:r>
    </w:p>
    <w:p w14:paraId="24EFDCE5" w14:textId="77777777" w:rsidR="00D81755" w:rsidRDefault="0073296A">
      <w:pPr>
        <w:pBdr>
          <w:top w:val="nil"/>
          <w:left w:val="nil"/>
          <w:bottom w:val="nil"/>
          <w:right w:val="nil"/>
          <w:between w:val="nil"/>
        </w:pBdr>
        <w:spacing w:line="256" w:lineRule="auto"/>
        <w:rPr>
          <w:color w:val="000000"/>
          <w:sz w:val="20"/>
          <w:szCs w:val="20"/>
        </w:rPr>
      </w:pPr>
      <w:r>
        <w:rPr>
          <w:b/>
          <w:bCs/>
          <w:sz w:val="20"/>
          <w:szCs w:val="20"/>
        </w:rPr>
        <w:t>Lesley Tomaszewski, PhD</w:t>
      </w:r>
      <w:r>
        <w:rPr>
          <w:b/>
          <w:bCs/>
          <w:color w:val="000000"/>
          <w:sz w:val="20"/>
          <w:szCs w:val="20"/>
        </w:rPr>
        <w:t xml:space="preserve"> – </w:t>
      </w:r>
      <w:r>
        <w:rPr>
          <w:color w:val="000000"/>
          <w:sz w:val="20"/>
          <w:szCs w:val="20"/>
        </w:rPr>
        <w:t>Health Policy and Management</w:t>
      </w:r>
    </w:p>
    <w:p w14:paraId="24EFDCE6" w14:textId="77777777" w:rsidR="00D81755" w:rsidRDefault="00D81755">
      <w:pPr>
        <w:pBdr>
          <w:top w:val="nil"/>
          <w:left w:val="nil"/>
          <w:bottom w:val="nil"/>
          <w:right w:val="nil"/>
          <w:between w:val="nil"/>
        </w:pBdr>
        <w:spacing w:line="256" w:lineRule="auto"/>
        <w:rPr>
          <w:color w:val="000000"/>
          <w:sz w:val="20"/>
          <w:szCs w:val="20"/>
        </w:rPr>
      </w:pPr>
    </w:p>
    <w:p w14:paraId="24EFDCE7" w14:textId="77777777" w:rsidR="00D81755" w:rsidRDefault="0073296A">
      <w:pPr>
        <w:pStyle w:val="Heading2"/>
        <w:rPr>
          <w:u w:val="single"/>
        </w:rPr>
      </w:pPr>
      <w:bookmarkStart w:id="10" w:name="_heading=h.fmw93btmkq3b" w:colFirst="0" w:colLast="0"/>
      <w:bookmarkEnd w:id="10"/>
      <w:r>
        <w:t>INSTRUCTIONAL FACULTY (2026-2027)</w:t>
      </w:r>
      <w:r>
        <w:br/>
      </w:r>
    </w:p>
    <w:p w14:paraId="24EFDCE8" w14:textId="77777777" w:rsidR="00D81755" w:rsidRDefault="0073296A">
      <w:r>
        <w:rPr>
          <w:sz w:val="20"/>
          <w:szCs w:val="20"/>
        </w:rPr>
        <w:t xml:space="preserve">In addition to our PPH Core Faculty, we have many outstanding members of our instructional faculty who are </w:t>
      </w:r>
      <w:proofErr w:type="gramStart"/>
      <w:r>
        <w:rPr>
          <w:sz w:val="20"/>
          <w:szCs w:val="20"/>
        </w:rPr>
        <w:t>a lead instructor</w:t>
      </w:r>
      <w:proofErr w:type="gramEnd"/>
      <w:r>
        <w:rPr>
          <w:sz w:val="20"/>
          <w:szCs w:val="20"/>
        </w:rPr>
        <w:t xml:space="preserve"> for courses provided by the Program in Public Health.</w:t>
      </w:r>
      <w:r>
        <w:rPr>
          <w:sz w:val="20"/>
          <w:szCs w:val="20"/>
        </w:rPr>
        <w:br/>
      </w:r>
    </w:p>
    <w:p w14:paraId="24EFDCE9" w14:textId="77777777" w:rsidR="00D81755" w:rsidRDefault="0073296A">
      <w:pPr>
        <w:pBdr>
          <w:top w:val="nil"/>
          <w:left w:val="nil"/>
          <w:bottom w:val="nil"/>
          <w:right w:val="nil"/>
          <w:between w:val="nil"/>
        </w:pBdr>
        <w:spacing w:line="256" w:lineRule="auto"/>
        <w:rPr>
          <w:color w:val="000000"/>
          <w:sz w:val="20"/>
          <w:szCs w:val="20"/>
        </w:rPr>
      </w:pPr>
      <w:r>
        <w:rPr>
          <w:b/>
          <w:bCs/>
          <w:color w:val="000000"/>
          <w:sz w:val="20"/>
          <w:szCs w:val="20"/>
        </w:rPr>
        <w:t xml:space="preserve">Christopher Berner, Esq - </w:t>
      </w:r>
      <w:r>
        <w:rPr>
          <w:color w:val="000000"/>
          <w:sz w:val="20"/>
          <w:szCs w:val="20"/>
        </w:rPr>
        <w:t>Instructor, Department of Family, Population &amp; Preventive Medicine; Vice President of Human Resources, Mount Sinai Beth Israel and New York Eye and Ear Infirmary (HPA 508 Human Resources Management in the Health Sector)</w:t>
      </w:r>
    </w:p>
    <w:p w14:paraId="24EFDCEA" w14:textId="77777777" w:rsidR="00D81755" w:rsidRDefault="00D81755">
      <w:pPr>
        <w:pBdr>
          <w:top w:val="nil"/>
          <w:left w:val="nil"/>
          <w:bottom w:val="nil"/>
          <w:right w:val="nil"/>
          <w:between w:val="nil"/>
        </w:pBdr>
        <w:spacing w:line="256" w:lineRule="auto"/>
        <w:rPr>
          <w:sz w:val="20"/>
          <w:szCs w:val="20"/>
        </w:rPr>
      </w:pPr>
    </w:p>
    <w:p w14:paraId="24EFDCEB" w14:textId="77777777" w:rsidR="00D81755" w:rsidRDefault="0073296A">
      <w:pPr>
        <w:pBdr>
          <w:top w:val="nil"/>
          <w:left w:val="nil"/>
          <w:bottom w:val="nil"/>
          <w:right w:val="nil"/>
          <w:between w:val="nil"/>
        </w:pBdr>
        <w:spacing w:line="256" w:lineRule="auto"/>
        <w:rPr>
          <w:b/>
          <w:bCs/>
          <w:i/>
          <w:iCs/>
          <w:color w:val="000000"/>
          <w:sz w:val="20"/>
          <w:szCs w:val="20"/>
        </w:rPr>
      </w:pPr>
      <w:r>
        <w:rPr>
          <w:b/>
          <w:bCs/>
          <w:color w:val="000000"/>
          <w:sz w:val="20"/>
          <w:szCs w:val="20"/>
        </w:rPr>
        <w:t>Ernest Conforti, MS, MBA, CPC, CPHQ, FACHE</w:t>
      </w:r>
      <w:r>
        <w:rPr>
          <w:color w:val="000000"/>
          <w:sz w:val="20"/>
          <w:szCs w:val="20"/>
        </w:rPr>
        <w:t xml:space="preserve"> –Instructor, Department of Family, Population &amp; Preventive Medicine; Associate Director of Operations, The Heart Institute, Stony Brook Medicine (HPA 510 Health Finance &amp; Accounting, HPA 529 Fundamentals of Healthcare Management, HPA 542 Capstone)</w:t>
      </w:r>
    </w:p>
    <w:p w14:paraId="24EFDCEC" w14:textId="77777777" w:rsidR="00D81755" w:rsidRDefault="00D81755">
      <w:pPr>
        <w:pBdr>
          <w:top w:val="nil"/>
          <w:left w:val="nil"/>
          <w:bottom w:val="nil"/>
          <w:right w:val="nil"/>
          <w:between w:val="nil"/>
        </w:pBdr>
        <w:spacing w:line="256" w:lineRule="auto"/>
        <w:rPr>
          <w:b/>
          <w:bCs/>
          <w:color w:val="000000"/>
          <w:sz w:val="20"/>
          <w:szCs w:val="20"/>
        </w:rPr>
      </w:pPr>
    </w:p>
    <w:p w14:paraId="24EFDCED" w14:textId="77777777" w:rsidR="00D81755" w:rsidRDefault="0073296A">
      <w:pPr>
        <w:pBdr>
          <w:top w:val="nil"/>
          <w:left w:val="nil"/>
          <w:bottom w:val="nil"/>
          <w:right w:val="nil"/>
          <w:between w:val="nil"/>
        </w:pBdr>
        <w:spacing w:line="256" w:lineRule="auto"/>
        <w:rPr>
          <w:b/>
          <w:bCs/>
          <w:sz w:val="20"/>
          <w:szCs w:val="20"/>
        </w:rPr>
      </w:pPr>
      <w:r>
        <w:rPr>
          <w:b/>
          <w:bCs/>
          <w:color w:val="000000"/>
          <w:sz w:val="20"/>
          <w:szCs w:val="20"/>
        </w:rPr>
        <w:t xml:space="preserve">Jean Gordon, RN, DBA - </w:t>
      </w:r>
      <w:r>
        <w:rPr>
          <w:color w:val="000000"/>
          <w:sz w:val="20"/>
          <w:szCs w:val="20"/>
        </w:rPr>
        <w:t xml:space="preserve">Instructor, Department of Family, Population &amp; Preventive Medicine; Clinical Practice, </w:t>
      </w:r>
      <w:proofErr w:type="spellStart"/>
      <w:r>
        <w:rPr>
          <w:color w:val="000000"/>
          <w:sz w:val="20"/>
          <w:szCs w:val="20"/>
        </w:rPr>
        <w:t>Westcare</w:t>
      </w:r>
      <w:proofErr w:type="spellEnd"/>
      <w:r>
        <w:rPr>
          <w:color w:val="000000"/>
          <w:sz w:val="20"/>
          <w:szCs w:val="20"/>
        </w:rPr>
        <w:t xml:space="preserve"> LLC (HPA 529 Fundamentals of Healthcare Management</w:t>
      </w:r>
      <w:r>
        <w:rPr>
          <w:b/>
          <w:bCs/>
          <w:color w:val="000000"/>
          <w:sz w:val="20"/>
          <w:szCs w:val="20"/>
        </w:rPr>
        <w:t>)</w:t>
      </w:r>
    </w:p>
    <w:p w14:paraId="24EFDCEE" w14:textId="77777777" w:rsidR="00D81755" w:rsidRDefault="00D81755">
      <w:pPr>
        <w:pBdr>
          <w:top w:val="nil"/>
          <w:left w:val="nil"/>
          <w:bottom w:val="nil"/>
          <w:right w:val="nil"/>
          <w:between w:val="nil"/>
        </w:pBdr>
        <w:spacing w:line="256" w:lineRule="auto"/>
        <w:rPr>
          <w:b/>
          <w:bCs/>
          <w:sz w:val="20"/>
          <w:szCs w:val="20"/>
        </w:rPr>
      </w:pPr>
    </w:p>
    <w:p w14:paraId="24EFDCEF" w14:textId="77777777" w:rsidR="00D81755" w:rsidRDefault="0073296A">
      <w:pPr>
        <w:pBdr>
          <w:top w:val="nil"/>
          <w:left w:val="nil"/>
          <w:bottom w:val="nil"/>
          <w:right w:val="nil"/>
          <w:between w:val="nil"/>
        </w:pBdr>
        <w:spacing w:line="256" w:lineRule="auto"/>
        <w:rPr>
          <w:b/>
          <w:bCs/>
          <w:sz w:val="20"/>
          <w:szCs w:val="20"/>
        </w:rPr>
      </w:pPr>
      <w:r>
        <w:rPr>
          <w:b/>
          <w:bCs/>
          <w:sz w:val="20"/>
          <w:szCs w:val="20"/>
        </w:rPr>
        <w:t xml:space="preserve">Harry D. Holt, JD, MBA </w:t>
      </w:r>
      <w:r>
        <w:rPr>
          <w:sz w:val="20"/>
          <w:szCs w:val="20"/>
        </w:rPr>
        <w:t>- Adjunct Associate Professor, Department of Family, Population &amp; Preventive Medicine; Associate Professor, Department of Health, College of Sciences, West Chester University (HPA 536 Health Law and Compliance and HPA 586 Health Management Professionalism)</w:t>
      </w:r>
      <w:r>
        <w:rPr>
          <w:sz w:val="20"/>
          <w:szCs w:val="20"/>
        </w:rPr>
        <w:br/>
      </w:r>
    </w:p>
    <w:p w14:paraId="24EFDCF0" w14:textId="77777777" w:rsidR="00D81755" w:rsidRDefault="0073296A">
      <w:pPr>
        <w:pBdr>
          <w:top w:val="nil"/>
          <w:left w:val="nil"/>
          <w:bottom w:val="nil"/>
          <w:right w:val="nil"/>
          <w:between w:val="nil"/>
        </w:pBdr>
        <w:spacing w:line="256" w:lineRule="auto"/>
        <w:rPr>
          <w:color w:val="333333"/>
          <w:sz w:val="20"/>
          <w:szCs w:val="20"/>
          <w:highlight w:val="white"/>
        </w:rPr>
      </w:pPr>
      <w:r>
        <w:rPr>
          <w:b/>
          <w:bCs/>
          <w:color w:val="333333"/>
          <w:sz w:val="20"/>
          <w:szCs w:val="20"/>
          <w:highlight w:val="white"/>
        </w:rPr>
        <w:t xml:space="preserve">Halim Kaygisiz, MHA </w:t>
      </w:r>
      <w:r>
        <w:rPr>
          <w:color w:val="333333"/>
          <w:sz w:val="20"/>
          <w:szCs w:val="20"/>
          <w:highlight w:val="white"/>
        </w:rPr>
        <w:t>– Manager, Business Operations, Heart Institute, Stony Brook University Medical Center</w:t>
      </w:r>
      <w:r>
        <w:rPr>
          <w:color w:val="000000"/>
          <w:sz w:val="20"/>
          <w:szCs w:val="20"/>
        </w:rPr>
        <w:t>;</w:t>
      </w:r>
      <w:r>
        <w:rPr>
          <w:color w:val="FF0000"/>
          <w:sz w:val="20"/>
          <w:szCs w:val="20"/>
        </w:rPr>
        <w:t xml:space="preserve"> </w:t>
      </w:r>
      <w:r>
        <w:rPr>
          <w:color w:val="000000"/>
          <w:sz w:val="20"/>
          <w:szCs w:val="20"/>
        </w:rPr>
        <w:t>Instructor, Department of Family, Population &amp; Preventive Medicine (HPA 510 Health Finance and Accounting)</w:t>
      </w:r>
    </w:p>
    <w:p w14:paraId="24EFDCF1" w14:textId="77777777" w:rsidR="00D81755" w:rsidRDefault="00D81755">
      <w:pPr>
        <w:pBdr>
          <w:top w:val="nil"/>
          <w:left w:val="nil"/>
          <w:bottom w:val="nil"/>
          <w:right w:val="nil"/>
          <w:between w:val="nil"/>
        </w:pBdr>
        <w:spacing w:line="256" w:lineRule="auto"/>
        <w:rPr>
          <w:b/>
          <w:bCs/>
          <w:color w:val="333333"/>
          <w:sz w:val="20"/>
          <w:szCs w:val="20"/>
          <w:highlight w:val="white"/>
        </w:rPr>
      </w:pPr>
    </w:p>
    <w:p w14:paraId="24EFDCF2" w14:textId="77777777" w:rsidR="00D81755" w:rsidRDefault="0073296A">
      <w:pPr>
        <w:pBdr>
          <w:top w:val="nil"/>
          <w:left w:val="nil"/>
          <w:bottom w:val="nil"/>
          <w:right w:val="nil"/>
          <w:between w:val="nil"/>
        </w:pBdr>
        <w:spacing w:line="256" w:lineRule="auto"/>
        <w:rPr>
          <w:color w:val="333333"/>
          <w:sz w:val="20"/>
          <w:szCs w:val="20"/>
          <w:highlight w:val="white"/>
        </w:rPr>
      </w:pPr>
      <w:r>
        <w:rPr>
          <w:b/>
          <w:bCs/>
          <w:color w:val="333333"/>
          <w:sz w:val="20"/>
          <w:szCs w:val="20"/>
          <w:highlight w:val="white"/>
        </w:rPr>
        <w:t xml:space="preserve">Eric Morley, MD, MHA, MS, CPHQ </w:t>
      </w:r>
      <w:r>
        <w:rPr>
          <w:color w:val="333333"/>
          <w:sz w:val="20"/>
          <w:szCs w:val="20"/>
          <w:highlight w:val="white"/>
        </w:rPr>
        <w:t>– Chief Quality Officer, Professor of Medicine, Department of Emergency Medicine, Stony Brook Medicine (HPA 564 Health Quality and Information Systems Management)</w:t>
      </w:r>
    </w:p>
    <w:p w14:paraId="24EFDCF3" w14:textId="77777777" w:rsidR="00D81755" w:rsidRDefault="00D81755">
      <w:pPr>
        <w:pBdr>
          <w:top w:val="nil"/>
          <w:left w:val="nil"/>
          <w:bottom w:val="nil"/>
          <w:right w:val="nil"/>
          <w:between w:val="nil"/>
        </w:pBdr>
        <w:spacing w:line="256" w:lineRule="auto"/>
        <w:rPr>
          <w:b/>
          <w:bCs/>
          <w:color w:val="333333"/>
          <w:sz w:val="20"/>
          <w:szCs w:val="20"/>
          <w:highlight w:val="white"/>
        </w:rPr>
      </w:pPr>
    </w:p>
    <w:p w14:paraId="24EFDCF4" w14:textId="77777777" w:rsidR="00D81755" w:rsidRDefault="0073296A">
      <w:pPr>
        <w:pBdr>
          <w:top w:val="nil"/>
          <w:left w:val="nil"/>
          <w:bottom w:val="nil"/>
          <w:right w:val="nil"/>
          <w:between w:val="nil"/>
        </w:pBdr>
        <w:spacing w:line="256" w:lineRule="auto"/>
        <w:rPr>
          <w:b/>
          <w:bCs/>
          <w:color w:val="333333"/>
          <w:sz w:val="20"/>
          <w:szCs w:val="20"/>
          <w:highlight w:val="white"/>
        </w:rPr>
      </w:pPr>
      <w:r>
        <w:rPr>
          <w:b/>
          <w:bCs/>
          <w:color w:val="333333"/>
          <w:sz w:val="20"/>
          <w:szCs w:val="20"/>
          <w:highlight w:val="white"/>
        </w:rPr>
        <w:lastRenderedPageBreak/>
        <w:t xml:space="preserve">Heidi Preis, MSW, PhD - </w:t>
      </w:r>
      <w:r>
        <w:rPr>
          <w:color w:val="333333"/>
          <w:sz w:val="20"/>
          <w:szCs w:val="20"/>
          <w:highlight w:val="white"/>
        </w:rPr>
        <w:t xml:space="preserve">Research Scientist, Department of Psychology, Stony Brook University; Assistant Professor of Research, Department of Obstetrics, Gynecology, and Reproductive Medicine, Stony Brook Medicine (HPH 506 Biostatistics I and HPH 507 Biostatistics II) </w:t>
      </w:r>
    </w:p>
    <w:p w14:paraId="24EFDCF5" w14:textId="77777777" w:rsidR="00D81755" w:rsidRDefault="00D81755">
      <w:pPr>
        <w:pBdr>
          <w:top w:val="nil"/>
          <w:left w:val="nil"/>
          <w:bottom w:val="nil"/>
          <w:right w:val="nil"/>
          <w:between w:val="nil"/>
        </w:pBdr>
        <w:spacing w:line="256" w:lineRule="auto"/>
        <w:rPr>
          <w:b/>
          <w:bCs/>
          <w:color w:val="000000"/>
          <w:sz w:val="20"/>
          <w:szCs w:val="20"/>
        </w:rPr>
      </w:pPr>
    </w:p>
    <w:p w14:paraId="24EFDCF6" w14:textId="77777777" w:rsidR="00D81755" w:rsidRDefault="0073296A">
      <w:pPr>
        <w:pBdr>
          <w:top w:val="nil"/>
          <w:left w:val="nil"/>
          <w:bottom w:val="nil"/>
          <w:right w:val="nil"/>
          <w:between w:val="nil"/>
        </w:pBdr>
        <w:spacing w:line="256" w:lineRule="auto"/>
        <w:rPr>
          <w:b/>
          <w:bCs/>
          <w:i/>
          <w:iCs/>
          <w:color w:val="000000"/>
          <w:sz w:val="20"/>
          <w:szCs w:val="20"/>
        </w:rPr>
      </w:pPr>
      <w:r>
        <w:rPr>
          <w:b/>
          <w:bCs/>
          <w:color w:val="000000"/>
          <w:sz w:val="20"/>
          <w:szCs w:val="20"/>
        </w:rPr>
        <w:t xml:space="preserve">Alyeah Ramjit, MS, MHA </w:t>
      </w:r>
      <w:r>
        <w:rPr>
          <w:color w:val="000000"/>
          <w:sz w:val="20"/>
          <w:szCs w:val="20"/>
        </w:rPr>
        <w:t>–Instructor, Department of Family, Population &amp; Preventive Medicine; Associate Director and Chief of Staff, Office of the Chief Transformation Office, Mt. Sinai Health System (HPA 530 Health Operations Management)</w:t>
      </w:r>
    </w:p>
    <w:p w14:paraId="24EFDCF7" w14:textId="77777777" w:rsidR="00D81755" w:rsidRDefault="00D81755">
      <w:pPr>
        <w:pBdr>
          <w:top w:val="nil"/>
          <w:left w:val="nil"/>
          <w:bottom w:val="nil"/>
          <w:right w:val="nil"/>
          <w:between w:val="nil"/>
        </w:pBdr>
        <w:spacing w:line="256" w:lineRule="auto"/>
        <w:rPr>
          <w:b/>
          <w:bCs/>
          <w:color w:val="000000"/>
          <w:sz w:val="20"/>
          <w:szCs w:val="20"/>
        </w:rPr>
      </w:pPr>
    </w:p>
    <w:p w14:paraId="24EFDCF8" w14:textId="77777777" w:rsidR="00D81755" w:rsidRDefault="0073296A">
      <w:pPr>
        <w:pBdr>
          <w:top w:val="nil"/>
          <w:left w:val="nil"/>
          <w:bottom w:val="nil"/>
          <w:right w:val="nil"/>
          <w:between w:val="nil"/>
        </w:pBdr>
        <w:spacing w:line="256" w:lineRule="auto"/>
        <w:rPr>
          <w:b/>
          <w:bCs/>
          <w:i/>
          <w:iCs/>
          <w:color w:val="000000"/>
          <w:sz w:val="20"/>
          <w:szCs w:val="20"/>
        </w:rPr>
      </w:pPr>
      <w:r>
        <w:rPr>
          <w:b/>
          <w:bCs/>
          <w:color w:val="000000"/>
          <w:sz w:val="20"/>
          <w:szCs w:val="20"/>
        </w:rPr>
        <w:t xml:space="preserve">A. Laurie W. Shroyer, PhD, MSHA — </w:t>
      </w:r>
      <w:r>
        <w:rPr>
          <w:color w:val="000000"/>
          <w:sz w:val="20"/>
          <w:szCs w:val="20"/>
        </w:rPr>
        <w:t>Professor of Surgery, Vice Chair for Research, Assistant Dean for Educational Research, Stony Brook Medicine</w:t>
      </w:r>
    </w:p>
    <w:p w14:paraId="24EFDCF9" w14:textId="77777777" w:rsidR="00D81755" w:rsidRDefault="00D81755">
      <w:pPr>
        <w:pBdr>
          <w:top w:val="nil"/>
          <w:left w:val="nil"/>
          <w:bottom w:val="nil"/>
          <w:right w:val="nil"/>
          <w:between w:val="nil"/>
        </w:pBdr>
        <w:spacing w:line="256" w:lineRule="auto"/>
        <w:rPr>
          <w:b/>
          <w:bCs/>
          <w:color w:val="000000"/>
          <w:sz w:val="20"/>
          <w:szCs w:val="20"/>
        </w:rPr>
      </w:pPr>
    </w:p>
    <w:p w14:paraId="24EFDCFA" w14:textId="77777777" w:rsidR="00D81755" w:rsidRDefault="0073296A">
      <w:pPr>
        <w:pBdr>
          <w:top w:val="nil"/>
          <w:left w:val="nil"/>
          <w:bottom w:val="nil"/>
          <w:right w:val="nil"/>
          <w:between w:val="nil"/>
        </w:pBdr>
        <w:spacing w:line="256" w:lineRule="auto"/>
        <w:rPr>
          <w:b/>
          <w:bCs/>
          <w:i/>
          <w:iCs/>
          <w:color w:val="000000"/>
          <w:sz w:val="20"/>
          <w:szCs w:val="20"/>
        </w:rPr>
      </w:pPr>
      <w:r>
        <w:rPr>
          <w:b/>
          <w:bCs/>
          <w:color w:val="000000"/>
          <w:sz w:val="20"/>
          <w:szCs w:val="20"/>
        </w:rPr>
        <w:t>Maggie Tadrous, MHA, LNHA</w:t>
      </w:r>
      <w:r>
        <w:rPr>
          <w:color w:val="000000"/>
          <w:sz w:val="20"/>
          <w:szCs w:val="20"/>
        </w:rPr>
        <w:t xml:space="preserve"> –Instructor, Department of Family, Population &amp; Preventive Medicine; Administrator, St. Mary’s Health Care System for Children (HPA 575 Long-Term Care in the Health Sector and HPA 576 Aging and Health)</w:t>
      </w:r>
    </w:p>
    <w:p w14:paraId="24EFDCFB" w14:textId="77777777" w:rsidR="00D81755" w:rsidRDefault="00D81755">
      <w:pPr>
        <w:pBdr>
          <w:top w:val="nil"/>
          <w:left w:val="nil"/>
          <w:bottom w:val="nil"/>
          <w:right w:val="nil"/>
          <w:between w:val="nil"/>
        </w:pBdr>
        <w:spacing w:line="256" w:lineRule="auto"/>
        <w:rPr>
          <w:color w:val="000000"/>
          <w:sz w:val="20"/>
          <w:szCs w:val="20"/>
        </w:rPr>
      </w:pPr>
    </w:p>
    <w:p w14:paraId="24EFDCFC" w14:textId="77777777" w:rsidR="00D81755" w:rsidRDefault="0073296A">
      <w:pPr>
        <w:pBdr>
          <w:top w:val="nil"/>
          <w:left w:val="nil"/>
          <w:bottom w:val="nil"/>
          <w:right w:val="nil"/>
          <w:between w:val="nil"/>
        </w:pBdr>
        <w:spacing w:after="160" w:line="256" w:lineRule="auto"/>
        <w:rPr>
          <w:color w:val="000000"/>
          <w:sz w:val="20"/>
          <w:szCs w:val="20"/>
        </w:rPr>
      </w:pPr>
      <w:r>
        <w:rPr>
          <w:b/>
          <w:bCs/>
          <w:color w:val="000000"/>
          <w:sz w:val="20"/>
          <w:szCs w:val="20"/>
        </w:rPr>
        <w:t xml:space="preserve">Evelio Velis, MD, PhD, MS </w:t>
      </w:r>
      <w:proofErr w:type="gramStart"/>
      <w:r>
        <w:rPr>
          <w:color w:val="000000"/>
          <w:sz w:val="20"/>
          <w:szCs w:val="20"/>
        </w:rPr>
        <w:t>-  Instructor</w:t>
      </w:r>
      <w:proofErr w:type="gramEnd"/>
      <w:r>
        <w:rPr>
          <w:color w:val="000000"/>
          <w:sz w:val="20"/>
          <w:szCs w:val="20"/>
        </w:rPr>
        <w:t>, Department of Family, Population &amp; Preventive Medicine; Professor, College of Nursing and Health Sciences, Barry University</w:t>
      </w:r>
      <w:r>
        <w:rPr>
          <w:b/>
          <w:bCs/>
          <w:color w:val="000000"/>
          <w:sz w:val="20"/>
          <w:szCs w:val="20"/>
        </w:rPr>
        <w:t xml:space="preserve"> </w:t>
      </w:r>
      <w:r>
        <w:rPr>
          <w:color w:val="000000"/>
          <w:sz w:val="20"/>
          <w:szCs w:val="20"/>
        </w:rPr>
        <w:t>(HPA 585 Introduction to Biostatistics &amp; Epidemiology)</w:t>
      </w:r>
    </w:p>
    <w:p w14:paraId="24EFDCFD" w14:textId="77777777" w:rsidR="00D81755" w:rsidRDefault="0073296A">
      <w:pPr>
        <w:pBdr>
          <w:top w:val="nil"/>
          <w:left w:val="nil"/>
          <w:bottom w:val="nil"/>
          <w:right w:val="nil"/>
          <w:between w:val="nil"/>
        </w:pBdr>
        <w:spacing w:after="160" w:line="256" w:lineRule="auto"/>
        <w:rPr>
          <w:sz w:val="20"/>
          <w:szCs w:val="20"/>
        </w:rPr>
      </w:pPr>
      <w:r>
        <w:rPr>
          <w:b/>
          <w:bCs/>
          <w:sz w:val="20"/>
          <w:szCs w:val="20"/>
        </w:rPr>
        <w:t>Ricky Wallace, DSc, FACHE</w:t>
      </w:r>
      <w:r>
        <w:rPr>
          <w:sz w:val="20"/>
          <w:szCs w:val="20"/>
        </w:rPr>
        <w:t xml:space="preserve"> - Clinical Assistant Professor, Department of Family, Population &amp; Preventive Medicine; Chief Executive Officer, Western Plains Medical Complex (HPA 527 Health Economics and Policy, HPA 541 Health Strategic Planning and Management and HPA 586 Health Management Professionalism and Ethics)</w:t>
      </w:r>
    </w:p>
    <w:p w14:paraId="24EFDCFE" w14:textId="77777777" w:rsidR="00D81755" w:rsidRDefault="0073296A">
      <w:pPr>
        <w:pStyle w:val="Heading2"/>
      </w:pPr>
      <w:bookmarkStart w:id="11" w:name="_heading=h.n8p5vyp61edy" w:colFirst="0" w:colLast="0"/>
      <w:bookmarkEnd w:id="11"/>
      <w:r>
        <w:t>PPH AFFILIATES</w:t>
      </w:r>
      <w:r>
        <w:br/>
      </w:r>
    </w:p>
    <w:p w14:paraId="24EFDCFF" w14:textId="77777777" w:rsidR="00D81755" w:rsidRDefault="0073296A">
      <w:pPr>
        <w:rPr>
          <w:sz w:val="20"/>
          <w:szCs w:val="20"/>
        </w:rPr>
      </w:pPr>
      <w:r>
        <w:rPr>
          <w:sz w:val="20"/>
          <w:szCs w:val="20"/>
        </w:rPr>
        <w:t>The Program in Public Health has the commitment of many outstanding affiliates, which includes faculty appointed in other schools and departments at Stony Brook University, and those working outside of the University as healthcare leaders, public health practitioners, and scholars who support our mission dedicated to excellence in teaching, research and service.</w:t>
      </w:r>
    </w:p>
    <w:p w14:paraId="24EFDD00" w14:textId="77777777" w:rsidR="00D81755" w:rsidRDefault="00D81755">
      <w:pPr>
        <w:pBdr>
          <w:top w:val="nil"/>
          <w:left w:val="nil"/>
          <w:bottom w:val="nil"/>
          <w:right w:val="nil"/>
          <w:between w:val="nil"/>
        </w:pBdr>
        <w:spacing w:line="256" w:lineRule="auto"/>
        <w:rPr>
          <w:b/>
          <w:bCs/>
          <w:color w:val="000000"/>
          <w:sz w:val="20"/>
          <w:szCs w:val="20"/>
        </w:rPr>
      </w:pPr>
    </w:p>
    <w:p w14:paraId="24EFDD01" w14:textId="77777777" w:rsidR="00D81755" w:rsidRDefault="0073296A">
      <w:pPr>
        <w:pBdr>
          <w:top w:val="nil"/>
          <w:left w:val="nil"/>
          <w:bottom w:val="nil"/>
          <w:right w:val="nil"/>
          <w:between w:val="nil"/>
        </w:pBdr>
        <w:spacing w:line="256" w:lineRule="auto"/>
        <w:rPr>
          <w:color w:val="000000"/>
          <w:sz w:val="20"/>
          <w:szCs w:val="20"/>
        </w:rPr>
      </w:pPr>
      <w:r>
        <w:rPr>
          <w:b/>
          <w:bCs/>
          <w:color w:val="000000"/>
          <w:sz w:val="20"/>
          <w:szCs w:val="20"/>
        </w:rPr>
        <w:t>Elliott Bennett-Guerrero, MD</w:t>
      </w:r>
      <w:r>
        <w:rPr>
          <w:color w:val="000000"/>
          <w:sz w:val="20"/>
          <w:szCs w:val="20"/>
        </w:rPr>
        <w:t xml:space="preserve"> –Professor, Department of Anesthesiology, Vice Chair for Clinical Research, Medical Director, Perioperative Quality &amp; Patient Safety; Stony Brook Medicine</w:t>
      </w:r>
    </w:p>
    <w:p w14:paraId="24EFDD02" w14:textId="77777777" w:rsidR="00D81755" w:rsidRDefault="00D81755">
      <w:pPr>
        <w:pBdr>
          <w:top w:val="nil"/>
          <w:left w:val="nil"/>
          <w:bottom w:val="nil"/>
          <w:right w:val="nil"/>
          <w:between w:val="nil"/>
        </w:pBdr>
        <w:spacing w:line="256" w:lineRule="auto"/>
        <w:rPr>
          <w:b/>
          <w:bCs/>
          <w:color w:val="000000"/>
          <w:sz w:val="20"/>
          <w:szCs w:val="20"/>
        </w:rPr>
      </w:pPr>
    </w:p>
    <w:p w14:paraId="24EFDD03" w14:textId="77777777" w:rsidR="00D81755" w:rsidRDefault="0073296A">
      <w:pPr>
        <w:pBdr>
          <w:top w:val="nil"/>
          <w:left w:val="nil"/>
          <w:bottom w:val="nil"/>
          <w:right w:val="nil"/>
          <w:between w:val="nil"/>
        </w:pBdr>
        <w:spacing w:line="256" w:lineRule="auto"/>
        <w:rPr>
          <w:color w:val="000000"/>
          <w:sz w:val="20"/>
          <w:szCs w:val="20"/>
        </w:rPr>
      </w:pPr>
      <w:r>
        <w:rPr>
          <w:b/>
          <w:bCs/>
          <w:color w:val="000000"/>
          <w:sz w:val="20"/>
          <w:szCs w:val="20"/>
        </w:rPr>
        <w:t xml:space="preserve">Cordia Beverley, MD </w:t>
      </w:r>
      <w:r>
        <w:rPr>
          <w:color w:val="000000"/>
          <w:sz w:val="20"/>
          <w:szCs w:val="20"/>
        </w:rPr>
        <w:t>- Assistant Dean for Community Health Policy, Clinical Associate Professor, Department of Family, Population and Preventive Medicine</w:t>
      </w:r>
    </w:p>
    <w:p w14:paraId="24EFDD04" w14:textId="77777777" w:rsidR="00D81755" w:rsidRDefault="00D81755">
      <w:pPr>
        <w:pBdr>
          <w:top w:val="nil"/>
          <w:left w:val="nil"/>
          <w:bottom w:val="nil"/>
          <w:right w:val="nil"/>
          <w:between w:val="nil"/>
        </w:pBdr>
        <w:spacing w:line="256" w:lineRule="auto"/>
        <w:rPr>
          <w:b/>
          <w:bCs/>
          <w:color w:val="000000"/>
          <w:sz w:val="20"/>
          <w:szCs w:val="20"/>
        </w:rPr>
      </w:pPr>
    </w:p>
    <w:p w14:paraId="24EFDD05" w14:textId="77777777" w:rsidR="00D81755" w:rsidRDefault="0073296A">
      <w:pPr>
        <w:pBdr>
          <w:top w:val="nil"/>
          <w:left w:val="nil"/>
          <w:bottom w:val="nil"/>
          <w:right w:val="nil"/>
          <w:between w:val="nil"/>
        </w:pBdr>
        <w:spacing w:line="256" w:lineRule="auto"/>
        <w:rPr>
          <w:color w:val="000000"/>
          <w:sz w:val="20"/>
          <w:szCs w:val="20"/>
        </w:rPr>
      </w:pPr>
      <w:r>
        <w:rPr>
          <w:b/>
          <w:bCs/>
          <w:color w:val="000000"/>
          <w:sz w:val="20"/>
          <w:szCs w:val="20"/>
        </w:rPr>
        <w:t>Rachel Boykan, MD</w:t>
      </w:r>
      <w:r>
        <w:rPr>
          <w:color w:val="000000"/>
          <w:sz w:val="20"/>
          <w:szCs w:val="20"/>
        </w:rPr>
        <w:t xml:space="preserve"> – Clinical Associate Professor, Department of Pediatrics, Stony Brook Medicine; Associate Residency Director for the Stony Brook Pediatric Residency Program</w:t>
      </w:r>
    </w:p>
    <w:p w14:paraId="24EFDD06" w14:textId="77777777" w:rsidR="00D81755" w:rsidRDefault="00D81755">
      <w:pPr>
        <w:pBdr>
          <w:top w:val="nil"/>
          <w:left w:val="nil"/>
          <w:bottom w:val="nil"/>
          <w:right w:val="nil"/>
          <w:between w:val="nil"/>
        </w:pBdr>
        <w:spacing w:line="256" w:lineRule="auto"/>
        <w:rPr>
          <w:b/>
          <w:bCs/>
          <w:color w:val="000000"/>
          <w:sz w:val="20"/>
          <w:szCs w:val="20"/>
        </w:rPr>
      </w:pPr>
    </w:p>
    <w:p w14:paraId="24EFDD07" w14:textId="77777777" w:rsidR="00D81755" w:rsidRDefault="0073296A">
      <w:pPr>
        <w:pBdr>
          <w:top w:val="nil"/>
          <w:left w:val="nil"/>
          <w:bottom w:val="nil"/>
          <w:right w:val="nil"/>
          <w:between w:val="nil"/>
        </w:pBdr>
        <w:spacing w:line="256" w:lineRule="auto"/>
        <w:rPr>
          <w:color w:val="000000"/>
          <w:sz w:val="20"/>
          <w:szCs w:val="20"/>
        </w:rPr>
      </w:pPr>
      <w:r>
        <w:rPr>
          <w:b/>
          <w:bCs/>
          <w:color w:val="000000"/>
          <w:sz w:val="20"/>
          <w:szCs w:val="20"/>
        </w:rPr>
        <w:t>Rebekah Burroway, PhD</w:t>
      </w:r>
      <w:r>
        <w:rPr>
          <w:color w:val="000000"/>
          <w:sz w:val="20"/>
          <w:szCs w:val="20"/>
        </w:rPr>
        <w:t xml:space="preserve"> –</w:t>
      </w:r>
      <w:r>
        <w:rPr>
          <w:color w:val="FF0000"/>
          <w:sz w:val="20"/>
          <w:szCs w:val="20"/>
        </w:rPr>
        <w:t xml:space="preserve"> </w:t>
      </w:r>
      <w:r>
        <w:rPr>
          <w:color w:val="000000"/>
          <w:sz w:val="20"/>
          <w:szCs w:val="20"/>
        </w:rPr>
        <w:t>Associate Professor, Department of Sociology; Director of Graduate Studies, Stony Brook University</w:t>
      </w:r>
    </w:p>
    <w:p w14:paraId="24EFDD08" w14:textId="77777777" w:rsidR="00D81755" w:rsidRDefault="00D81755">
      <w:pPr>
        <w:pBdr>
          <w:top w:val="nil"/>
          <w:left w:val="nil"/>
          <w:bottom w:val="nil"/>
          <w:right w:val="nil"/>
          <w:between w:val="nil"/>
        </w:pBdr>
        <w:spacing w:line="256" w:lineRule="auto"/>
        <w:rPr>
          <w:b/>
          <w:bCs/>
          <w:color w:val="000000"/>
          <w:sz w:val="20"/>
          <w:szCs w:val="20"/>
        </w:rPr>
      </w:pPr>
    </w:p>
    <w:p w14:paraId="24EFDD09" w14:textId="77777777" w:rsidR="00D81755" w:rsidRDefault="0073296A">
      <w:pPr>
        <w:pBdr>
          <w:top w:val="nil"/>
          <w:left w:val="nil"/>
          <w:bottom w:val="nil"/>
          <w:right w:val="nil"/>
          <w:between w:val="nil"/>
        </w:pBdr>
        <w:spacing w:line="256" w:lineRule="auto"/>
        <w:rPr>
          <w:color w:val="000000"/>
          <w:sz w:val="20"/>
          <w:szCs w:val="20"/>
        </w:rPr>
      </w:pPr>
      <w:r>
        <w:rPr>
          <w:b/>
          <w:bCs/>
          <w:color w:val="000000"/>
          <w:sz w:val="20"/>
          <w:szCs w:val="20"/>
        </w:rPr>
        <w:t>Dolores Cannella, PhD</w:t>
      </w:r>
      <w:r>
        <w:rPr>
          <w:color w:val="000000"/>
          <w:sz w:val="20"/>
          <w:szCs w:val="20"/>
        </w:rPr>
        <w:t xml:space="preserve"> – Associate Professor, Director of Behavioral Sciences, Associate Dean for Education</w:t>
      </w:r>
      <w:r>
        <w:rPr>
          <w:b/>
          <w:bCs/>
          <w:color w:val="000000"/>
          <w:sz w:val="20"/>
          <w:szCs w:val="20"/>
        </w:rPr>
        <w:t xml:space="preserve">, </w:t>
      </w:r>
      <w:r>
        <w:rPr>
          <w:color w:val="000000"/>
          <w:sz w:val="20"/>
          <w:szCs w:val="20"/>
        </w:rPr>
        <w:t xml:space="preserve">Stony Brook School of Dental Medicine </w:t>
      </w:r>
    </w:p>
    <w:p w14:paraId="24EFDD0A" w14:textId="77777777" w:rsidR="00D81755" w:rsidRDefault="00D81755">
      <w:pPr>
        <w:pBdr>
          <w:top w:val="nil"/>
          <w:left w:val="nil"/>
          <w:bottom w:val="nil"/>
          <w:right w:val="nil"/>
          <w:between w:val="nil"/>
        </w:pBdr>
        <w:spacing w:line="256" w:lineRule="auto"/>
        <w:rPr>
          <w:b/>
          <w:bCs/>
          <w:color w:val="000000"/>
          <w:sz w:val="20"/>
          <w:szCs w:val="20"/>
        </w:rPr>
      </w:pPr>
    </w:p>
    <w:p w14:paraId="24EFDD0B" w14:textId="77777777" w:rsidR="00D81755" w:rsidRDefault="0073296A">
      <w:pPr>
        <w:pBdr>
          <w:top w:val="nil"/>
          <w:left w:val="nil"/>
          <w:bottom w:val="nil"/>
          <w:right w:val="nil"/>
          <w:between w:val="nil"/>
        </w:pBdr>
        <w:spacing w:line="256" w:lineRule="auto"/>
        <w:rPr>
          <w:b/>
          <w:bCs/>
          <w:color w:val="000000"/>
          <w:sz w:val="20"/>
          <w:szCs w:val="20"/>
        </w:rPr>
      </w:pPr>
      <w:r>
        <w:rPr>
          <w:b/>
          <w:bCs/>
          <w:color w:val="000000"/>
          <w:sz w:val="20"/>
          <w:szCs w:val="20"/>
        </w:rPr>
        <w:t xml:space="preserve">Sunny Chung, MS, MLS </w:t>
      </w:r>
      <w:r>
        <w:rPr>
          <w:color w:val="000000"/>
          <w:sz w:val="20"/>
          <w:szCs w:val="20"/>
        </w:rPr>
        <w:t>– Health Sciences Librarian, Stony Brook University</w:t>
      </w:r>
    </w:p>
    <w:p w14:paraId="24EFDD0C" w14:textId="77777777" w:rsidR="00D81755" w:rsidRDefault="00D81755">
      <w:pPr>
        <w:pBdr>
          <w:top w:val="nil"/>
          <w:left w:val="nil"/>
          <w:bottom w:val="nil"/>
          <w:right w:val="nil"/>
          <w:between w:val="nil"/>
        </w:pBdr>
        <w:spacing w:line="256" w:lineRule="auto"/>
        <w:rPr>
          <w:b/>
          <w:bCs/>
          <w:color w:val="000000"/>
          <w:sz w:val="20"/>
          <w:szCs w:val="20"/>
        </w:rPr>
      </w:pPr>
    </w:p>
    <w:p w14:paraId="24EFDD0D" w14:textId="77777777" w:rsidR="00D81755" w:rsidRDefault="0073296A">
      <w:pPr>
        <w:pBdr>
          <w:top w:val="nil"/>
          <w:left w:val="nil"/>
          <w:bottom w:val="nil"/>
          <w:right w:val="nil"/>
          <w:between w:val="nil"/>
        </w:pBdr>
        <w:spacing w:line="256" w:lineRule="auto"/>
        <w:rPr>
          <w:color w:val="000000"/>
          <w:sz w:val="20"/>
          <w:szCs w:val="20"/>
        </w:rPr>
      </w:pPr>
      <w:r>
        <w:rPr>
          <w:b/>
          <w:bCs/>
          <w:color w:val="000000"/>
          <w:sz w:val="20"/>
          <w:szCs w:val="20"/>
        </w:rPr>
        <w:t xml:space="preserve">Debra Cinotti, DDS </w:t>
      </w:r>
      <w:r>
        <w:rPr>
          <w:color w:val="000000"/>
          <w:sz w:val="20"/>
          <w:szCs w:val="20"/>
        </w:rPr>
        <w:t>–</w:t>
      </w:r>
      <w:r>
        <w:rPr>
          <w:b/>
          <w:bCs/>
          <w:color w:val="000000"/>
          <w:sz w:val="20"/>
          <w:szCs w:val="20"/>
        </w:rPr>
        <w:t xml:space="preserve"> </w:t>
      </w:r>
      <w:r>
        <w:rPr>
          <w:color w:val="000000"/>
          <w:sz w:val="20"/>
          <w:szCs w:val="20"/>
        </w:rPr>
        <w:t>Associate Professor, Department of General Dentistry, Director General Practice Residency Program, Stony Brook School of Medicine</w:t>
      </w:r>
    </w:p>
    <w:p w14:paraId="24EFDD0E" w14:textId="77777777" w:rsidR="00D81755" w:rsidRDefault="00D81755">
      <w:pPr>
        <w:pBdr>
          <w:top w:val="nil"/>
          <w:left w:val="nil"/>
          <w:bottom w:val="nil"/>
          <w:right w:val="nil"/>
          <w:between w:val="nil"/>
        </w:pBdr>
        <w:spacing w:line="256" w:lineRule="auto"/>
        <w:rPr>
          <w:b/>
          <w:bCs/>
          <w:color w:val="000000"/>
          <w:sz w:val="20"/>
          <w:szCs w:val="20"/>
        </w:rPr>
      </w:pPr>
      <w:bookmarkStart w:id="12" w:name="_heading=h.2s8eyo1" w:colFirst="0" w:colLast="0"/>
      <w:bookmarkEnd w:id="12"/>
    </w:p>
    <w:p w14:paraId="24EFDD0F" w14:textId="77777777" w:rsidR="00D81755" w:rsidRDefault="0073296A">
      <w:pPr>
        <w:pBdr>
          <w:top w:val="nil"/>
          <w:left w:val="nil"/>
          <w:bottom w:val="nil"/>
          <w:right w:val="nil"/>
          <w:between w:val="nil"/>
        </w:pBdr>
        <w:spacing w:line="256" w:lineRule="auto"/>
        <w:rPr>
          <w:b/>
          <w:bCs/>
          <w:i/>
          <w:iCs/>
          <w:color w:val="000000"/>
          <w:sz w:val="20"/>
          <w:szCs w:val="20"/>
        </w:rPr>
      </w:pPr>
      <w:r>
        <w:rPr>
          <w:b/>
          <w:bCs/>
          <w:color w:val="000000"/>
          <w:sz w:val="20"/>
          <w:szCs w:val="20"/>
        </w:rPr>
        <w:t>Ernest Conforti, MS, MBA, CPC, CPHQ, FACHE</w:t>
      </w:r>
      <w:r>
        <w:rPr>
          <w:color w:val="000000"/>
          <w:sz w:val="20"/>
          <w:szCs w:val="20"/>
        </w:rPr>
        <w:t xml:space="preserve"> –Instructor, Department of Family, Population &amp; Preventive Medicine; Associate Director of Operations, The Heart Institute, Stony Brook Medicine</w:t>
      </w:r>
    </w:p>
    <w:p w14:paraId="24EFDD10" w14:textId="77777777" w:rsidR="00D81755" w:rsidRDefault="00D81755">
      <w:pPr>
        <w:pBdr>
          <w:top w:val="nil"/>
          <w:left w:val="nil"/>
          <w:bottom w:val="nil"/>
          <w:right w:val="nil"/>
          <w:between w:val="nil"/>
        </w:pBdr>
        <w:spacing w:line="256" w:lineRule="auto"/>
        <w:rPr>
          <w:b/>
          <w:bCs/>
          <w:color w:val="000000"/>
          <w:sz w:val="20"/>
          <w:szCs w:val="20"/>
        </w:rPr>
      </w:pPr>
    </w:p>
    <w:p w14:paraId="24EFDD11" w14:textId="77777777" w:rsidR="00D81755" w:rsidRDefault="0073296A">
      <w:pPr>
        <w:pBdr>
          <w:top w:val="nil"/>
          <w:left w:val="nil"/>
          <w:bottom w:val="nil"/>
          <w:right w:val="nil"/>
          <w:between w:val="nil"/>
        </w:pBdr>
        <w:spacing w:line="256" w:lineRule="auto"/>
        <w:rPr>
          <w:color w:val="000000"/>
          <w:sz w:val="20"/>
          <w:szCs w:val="20"/>
        </w:rPr>
      </w:pPr>
      <w:r>
        <w:rPr>
          <w:b/>
          <w:bCs/>
          <w:color w:val="000000"/>
          <w:sz w:val="20"/>
          <w:szCs w:val="20"/>
        </w:rPr>
        <w:t>Josephine Connolly-Schoonen, PhD</w:t>
      </w:r>
      <w:r>
        <w:rPr>
          <w:color w:val="000000"/>
          <w:sz w:val="20"/>
          <w:szCs w:val="20"/>
        </w:rPr>
        <w:t xml:space="preserve"> –</w:t>
      </w:r>
      <w:r>
        <w:rPr>
          <w:color w:val="FF0000"/>
          <w:sz w:val="20"/>
          <w:szCs w:val="20"/>
        </w:rPr>
        <w:t xml:space="preserve"> </w:t>
      </w:r>
      <w:r>
        <w:rPr>
          <w:color w:val="000000"/>
          <w:sz w:val="20"/>
          <w:szCs w:val="20"/>
        </w:rPr>
        <w:t>Clinical Associate Professor, Department of Family, Population &amp; Preventive Medicine; Head of the Nutrition Division and Executive Director of the Nutrition Service for Stony Brook Medicine</w:t>
      </w:r>
    </w:p>
    <w:p w14:paraId="24EFDD12" w14:textId="77777777" w:rsidR="00D81755" w:rsidRDefault="00D81755">
      <w:pPr>
        <w:pBdr>
          <w:top w:val="nil"/>
          <w:left w:val="nil"/>
          <w:bottom w:val="nil"/>
          <w:right w:val="nil"/>
          <w:between w:val="nil"/>
        </w:pBdr>
        <w:spacing w:line="256" w:lineRule="auto"/>
        <w:rPr>
          <w:b/>
          <w:bCs/>
          <w:sz w:val="20"/>
          <w:szCs w:val="20"/>
        </w:rPr>
      </w:pPr>
    </w:p>
    <w:p w14:paraId="24EFDD13" w14:textId="77777777" w:rsidR="00D81755" w:rsidRDefault="0073296A">
      <w:pPr>
        <w:pBdr>
          <w:top w:val="nil"/>
          <w:left w:val="nil"/>
          <w:bottom w:val="nil"/>
          <w:right w:val="nil"/>
          <w:between w:val="nil"/>
        </w:pBdr>
        <w:spacing w:line="256" w:lineRule="auto"/>
        <w:rPr>
          <w:sz w:val="20"/>
          <w:szCs w:val="20"/>
        </w:rPr>
      </w:pPr>
      <w:r>
        <w:rPr>
          <w:b/>
          <w:bCs/>
          <w:sz w:val="20"/>
          <w:szCs w:val="20"/>
        </w:rPr>
        <w:t>Lulu Dong, PhD, MHS -</w:t>
      </w:r>
      <w:r>
        <w:rPr>
          <w:sz w:val="20"/>
          <w:szCs w:val="20"/>
        </w:rPr>
        <w:t xml:space="preserve"> Assistant Professor, Department of Psychology </w:t>
      </w:r>
    </w:p>
    <w:p w14:paraId="24EFDD14" w14:textId="77777777" w:rsidR="00D81755" w:rsidRDefault="00D81755">
      <w:pPr>
        <w:pBdr>
          <w:top w:val="nil"/>
          <w:left w:val="nil"/>
          <w:bottom w:val="nil"/>
          <w:right w:val="nil"/>
          <w:between w:val="nil"/>
        </w:pBdr>
        <w:spacing w:line="256" w:lineRule="auto"/>
        <w:rPr>
          <w:b/>
          <w:bCs/>
          <w:color w:val="000000"/>
          <w:sz w:val="20"/>
          <w:szCs w:val="20"/>
        </w:rPr>
      </w:pPr>
    </w:p>
    <w:p w14:paraId="24EFDD15" w14:textId="77777777" w:rsidR="00D81755" w:rsidRDefault="0073296A">
      <w:pPr>
        <w:pBdr>
          <w:top w:val="nil"/>
          <w:left w:val="nil"/>
          <w:bottom w:val="nil"/>
          <w:right w:val="nil"/>
          <w:between w:val="nil"/>
        </w:pBdr>
        <w:spacing w:line="256" w:lineRule="auto"/>
        <w:rPr>
          <w:color w:val="000000"/>
          <w:sz w:val="20"/>
          <w:szCs w:val="20"/>
        </w:rPr>
      </w:pPr>
      <w:r>
        <w:rPr>
          <w:b/>
          <w:bCs/>
          <w:color w:val="000000"/>
          <w:sz w:val="20"/>
          <w:szCs w:val="20"/>
        </w:rPr>
        <w:t>Fred Guttenberg</w:t>
      </w:r>
      <w:r>
        <w:rPr>
          <w:color w:val="000000"/>
          <w:sz w:val="20"/>
          <w:szCs w:val="20"/>
        </w:rPr>
        <w:t xml:space="preserve"> – Co-founder of non-profit Orange Ribbons for Jaime, Co-founder of non-profit Orange Ribbons for Gun Safety</w:t>
      </w:r>
    </w:p>
    <w:p w14:paraId="24EFDD16" w14:textId="77777777" w:rsidR="00D81755" w:rsidRDefault="00D81755">
      <w:pPr>
        <w:pBdr>
          <w:top w:val="nil"/>
          <w:left w:val="nil"/>
          <w:bottom w:val="nil"/>
          <w:right w:val="nil"/>
          <w:between w:val="nil"/>
        </w:pBdr>
        <w:spacing w:line="256" w:lineRule="auto"/>
        <w:rPr>
          <w:b/>
          <w:bCs/>
          <w:color w:val="000000"/>
          <w:sz w:val="20"/>
          <w:szCs w:val="20"/>
        </w:rPr>
      </w:pPr>
    </w:p>
    <w:p w14:paraId="24EFDD17" w14:textId="77777777" w:rsidR="00D81755" w:rsidRDefault="0073296A">
      <w:pPr>
        <w:pBdr>
          <w:top w:val="nil"/>
          <w:left w:val="nil"/>
          <w:bottom w:val="nil"/>
          <w:right w:val="nil"/>
          <w:between w:val="nil"/>
        </w:pBdr>
        <w:spacing w:line="256" w:lineRule="auto"/>
        <w:rPr>
          <w:color w:val="000000"/>
          <w:sz w:val="20"/>
          <w:szCs w:val="20"/>
        </w:rPr>
      </w:pPr>
      <w:r>
        <w:rPr>
          <w:b/>
          <w:bCs/>
          <w:color w:val="000000"/>
          <w:sz w:val="20"/>
          <w:szCs w:val="20"/>
        </w:rPr>
        <w:lastRenderedPageBreak/>
        <w:t>Leah Holbrook, MS, RD</w:t>
      </w:r>
      <w:r>
        <w:rPr>
          <w:color w:val="000000"/>
          <w:sz w:val="20"/>
          <w:szCs w:val="20"/>
        </w:rPr>
        <w:t xml:space="preserve"> – Clinical Instructor, Department of Family, Population &amp; Preventive Medicine; Associate Director, Graduate Nutrition Program</w:t>
      </w:r>
    </w:p>
    <w:p w14:paraId="24EFDD18" w14:textId="77777777" w:rsidR="00D81755" w:rsidRDefault="00D81755">
      <w:pPr>
        <w:pBdr>
          <w:top w:val="nil"/>
          <w:left w:val="nil"/>
          <w:bottom w:val="nil"/>
          <w:right w:val="nil"/>
          <w:between w:val="nil"/>
        </w:pBdr>
        <w:spacing w:line="256" w:lineRule="auto"/>
        <w:rPr>
          <w:color w:val="000000"/>
          <w:sz w:val="20"/>
          <w:szCs w:val="20"/>
        </w:rPr>
      </w:pPr>
    </w:p>
    <w:p w14:paraId="24EFDD19" w14:textId="77777777" w:rsidR="00D81755" w:rsidRDefault="0073296A">
      <w:pPr>
        <w:pBdr>
          <w:top w:val="nil"/>
          <w:left w:val="nil"/>
          <w:bottom w:val="nil"/>
          <w:right w:val="nil"/>
          <w:between w:val="nil"/>
        </w:pBdr>
        <w:spacing w:line="256" w:lineRule="auto"/>
        <w:rPr>
          <w:color w:val="000000"/>
          <w:sz w:val="20"/>
          <w:szCs w:val="20"/>
        </w:rPr>
      </w:pPr>
      <w:r>
        <w:rPr>
          <w:b/>
          <w:bCs/>
          <w:color w:val="000000"/>
          <w:sz w:val="20"/>
          <w:szCs w:val="20"/>
        </w:rPr>
        <w:t>Pam Hurst-Della Pietra, DO</w:t>
      </w:r>
      <w:r>
        <w:rPr>
          <w:color w:val="000000"/>
          <w:sz w:val="20"/>
          <w:szCs w:val="20"/>
        </w:rPr>
        <w:t xml:space="preserve"> - Affiliated Faculty, Program in Public Health; Founder, Chair of the Board, and Director of Strategic Projects, Children and Screens: Institute of Digital Media and Child Development</w:t>
      </w:r>
    </w:p>
    <w:p w14:paraId="24EFDD1A" w14:textId="77777777" w:rsidR="00D81755" w:rsidRDefault="00D81755">
      <w:pPr>
        <w:pBdr>
          <w:top w:val="nil"/>
          <w:left w:val="nil"/>
          <w:bottom w:val="nil"/>
          <w:right w:val="nil"/>
          <w:between w:val="nil"/>
        </w:pBdr>
        <w:spacing w:line="256" w:lineRule="auto"/>
        <w:rPr>
          <w:b/>
          <w:bCs/>
          <w:color w:val="000000"/>
          <w:sz w:val="20"/>
          <w:szCs w:val="20"/>
        </w:rPr>
      </w:pPr>
    </w:p>
    <w:p w14:paraId="24EFDD1B" w14:textId="77777777" w:rsidR="00D81755" w:rsidRDefault="0073296A">
      <w:pPr>
        <w:pBdr>
          <w:top w:val="nil"/>
          <w:left w:val="nil"/>
          <w:bottom w:val="nil"/>
          <w:right w:val="nil"/>
          <w:between w:val="nil"/>
        </w:pBdr>
        <w:spacing w:line="256" w:lineRule="auto"/>
        <w:rPr>
          <w:color w:val="000000"/>
          <w:sz w:val="20"/>
          <w:szCs w:val="20"/>
        </w:rPr>
      </w:pPr>
      <w:proofErr w:type="spellStart"/>
      <w:r>
        <w:rPr>
          <w:b/>
          <w:bCs/>
          <w:color w:val="000000"/>
          <w:sz w:val="20"/>
          <w:szCs w:val="20"/>
        </w:rPr>
        <w:t>Aldustus</w:t>
      </w:r>
      <w:proofErr w:type="spellEnd"/>
      <w:r>
        <w:rPr>
          <w:b/>
          <w:bCs/>
          <w:color w:val="000000"/>
          <w:sz w:val="20"/>
          <w:szCs w:val="20"/>
        </w:rPr>
        <w:t xml:space="preserve"> Jordan, EdD </w:t>
      </w:r>
      <w:r>
        <w:rPr>
          <w:color w:val="000000"/>
          <w:sz w:val="20"/>
          <w:szCs w:val="20"/>
        </w:rPr>
        <w:t>– Associate Professor (Retired), Department of Family, Population &amp; Preventive Medicine</w:t>
      </w:r>
    </w:p>
    <w:p w14:paraId="24EFDD1C" w14:textId="77777777" w:rsidR="00D81755" w:rsidRDefault="00D81755">
      <w:pPr>
        <w:pBdr>
          <w:top w:val="nil"/>
          <w:left w:val="nil"/>
          <w:bottom w:val="nil"/>
          <w:right w:val="nil"/>
          <w:between w:val="nil"/>
        </w:pBdr>
        <w:spacing w:line="256" w:lineRule="auto"/>
        <w:rPr>
          <w:b/>
          <w:bCs/>
          <w:color w:val="000000"/>
          <w:sz w:val="20"/>
          <w:szCs w:val="20"/>
        </w:rPr>
      </w:pPr>
    </w:p>
    <w:p w14:paraId="24EFDD1D" w14:textId="77777777" w:rsidR="00D81755" w:rsidRDefault="0073296A">
      <w:pPr>
        <w:pBdr>
          <w:top w:val="nil"/>
          <w:left w:val="nil"/>
          <w:bottom w:val="nil"/>
          <w:right w:val="nil"/>
          <w:between w:val="nil"/>
        </w:pBdr>
        <w:spacing w:line="256" w:lineRule="auto"/>
        <w:rPr>
          <w:color w:val="000000"/>
          <w:sz w:val="20"/>
          <w:szCs w:val="20"/>
        </w:rPr>
      </w:pPr>
      <w:r>
        <w:rPr>
          <w:b/>
          <w:bCs/>
          <w:color w:val="000000"/>
          <w:sz w:val="20"/>
          <w:szCs w:val="20"/>
        </w:rPr>
        <w:t>Jessica Koos, MS, MLS</w:t>
      </w:r>
      <w:r>
        <w:rPr>
          <w:color w:val="000000"/>
          <w:sz w:val="20"/>
          <w:szCs w:val="20"/>
        </w:rPr>
        <w:t xml:space="preserve"> –</w:t>
      </w:r>
      <w:r>
        <w:rPr>
          <w:color w:val="FF0000"/>
          <w:sz w:val="20"/>
          <w:szCs w:val="20"/>
        </w:rPr>
        <w:t xml:space="preserve"> </w:t>
      </w:r>
      <w:r>
        <w:rPr>
          <w:color w:val="000000"/>
          <w:sz w:val="20"/>
          <w:szCs w:val="20"/>
        </w:rPr>
        <w:t>Health Sciences Librarian, Stony Brook University</w:t>
      </w:r>
    </w:p>
    <w:p w14:paraId="24EFDD1E" w14:textId="77777777" w:rsidR="00D81755" w:rsidRDefault="00D81755">
      <w:pPr>
        <w:pBdr>
          <w:top w:val="nil"/>
          <w:left w:val="nil"/>
          <w:bottom w:val="nil"/>
          <w:right w:val="nil"/>
          <w:between w:val="nil"/>
        </w:pBdr>
        <w:spacing w:line="256" w:lineRule="auto"/>
        <w:rPr>
          <w:color w:val="FF0000"/>
          <w:sz w:val="20"/>
          <w:szCs w:val="20"/>
        </w:rPr>
      </w:pPr>
    </w:p>
    <w:p w14:paraId="24EFDD1F" w14:textId="77777777" w:rsidR="00D81755" w:rsidRDefault="0073296A">
      <w:pPr>
        <w:pBdr>
          <w:top w:val="nil"/>
          <w:left w:val="nil"/>
          <w:bottom w:val="nil"/>
          <w:right w:val="nil"/>
          <w:between w:val="nil"/>
        </w:pBdr>
        <w:spacing w:line="256" w:lineRule="auto"/>
        <w:rPr>
          <w:sz w:val="20"/>
          <w:szCs w:val="20"/>
        </w:rPr>
      </w:pPr>
      <w:r>
        <w:rPr>
          <w:b/>
          <w:bCs/>
          <w:sz w:val="20"/>
          <w:szCs w:val="20"/>
        </w:rPr>
        <w:t xml:space="preserve">MaryEllen </w:t>
      </w:r>
      <w:proofErr w:type="spellStart"/>
      <w:r>
        <w:rPr>
          <w:b/>
          <w:bCs/>
          <w:sz w:val="20"/>
          <w:szCs w:val="20"/>
        </w:rPr>
        <w:t>LaSala</w:t>
      </w:r>
      <w:proofErr w:type="spellEnd"/>
      <w:r>
        <w:rPr>
          <w:b/>
          <w:bCs/>
          <w:sz w:val="20"/>
          <w:szCs w:val="20"/>
        </w:rPr>
        <w:t>, Ph.D., RN</w:t>
      </w:r>
      <w:r>
        <w:rPr>
          <w:sz w:val="20"/>
          <w:szCs w:val="20"/>
        </w:rPr>
        <w:t> – Chair, Undergraduate Studies, Clinical Assistant Professor, School of Nursing, Stony Brook University</w:t>
      </w:r>
    </w:p>
    <w:p w14:paraId="24EFDD20" w14:textId="77777777" w:rsidR="00D81755" w:rsidRDefault="00D81755">
      <w:pPr>
        <w:pBdr>
          <w:top w:val="nil"/>
          <w:left w:val="nil"/>
          <w:bottom w:val="nil"/>
          <w:right w:val="nil"/>
          <w:between w:val="nil"/>
        </w:pBdr>
        <w:spacing w:line="256" w:lineRule="auto"/>
        <w:rPr>
          <w:b/>
          <w:bCs/>
          <w:color w:val="000000"/>
          <w:sz w:val="20"/>
          <w:szCs w:val="20"/>
        </w:rPr>
      </w:pPr>
    </w:p>
    <w:p w14:paraId="24EFDD21" w14:textId="77777777" w:rsidR="00D81755" w:rsidRDefault="0073296A">
      <w:pPr>
        <w:pBdr>
          <w:top w:val="nil"/>
          <w:left w:val="nil"/>
          <w:bottom w:val="nil"/>
          <w:right w:val="nil"/>
          <w:between w:val="nil"/>
        </w:pBdr>
        <w:spacing w:line="256" w:lineRule="auto"/>
        <w:rPr>
          <w:b/>
          <w:bCs/>
          <w:color w:val="000000"/>
          <w:sz w:val="20"/>
          <w:szCs w:val="20"/>
        </w:rPr>
      </w:pPr>
      <w:r>
        <w:rPr>
          <w:b/>
          <w:bCs/>
          <w:color w:val="000000"/>
          <w:sz w:val="20"/>
          <w:szCs w:val="20"/>
        </w:rPr>
        <w:t>Valerie Lewis</w:t>
      </w:r>
      <w:r>
        <w:rPr>
          <w:color w:val="000000"/>
          <w:sz w:val="20"/>
          <w:szCs w:val="20"/>
        </w:rPr>
        <w:t xml:space="preserve"> – Administrator for Outreach Services, Suffolk Cooperative Library System</w:t>
      </w:r>
    </w:p>
    <w:p w14:paraId="24EFDD22" w14:textId="77777777" w:rsidR="00D81755" w:rsidRDefault="00D81755">
      <w:pPr>
        <w:pBdr>
          <w:top w:val="nil"/>
          <w:left w:val="nil"/>
          <w:bottom w:val="nil"/>
          <w:right w:val="nil"/>
          <w:between w:val="nil"/>
        </w:pBdr>
        <w:spacing w:line="256" w:lineRule="auto"/>
        <w:rPr>
          <w:b/>
          <w:bCs/>
          <w:color w:val="000000"/>
          <w:sz w:val="20"/>
          <w:szCs w:val="20"/>
        </w:rPr>
      </w:pPr>
    </w:p>
    <w:p w14:paraId="24EFDD23" w14:textId="77777777" w:rsidR="00D81755" w:rsidRDefault="0073296A">
      <w:pPr>
        <w:pBdr>
          <w:top w:val="nil"/>
          <w:left w:val="nil"/>
          <w:bottom w:val="nil"/>
          <w:right w:val="nil"/>
          <w:between w:val="nil"/>
        </w:pBdr>
        <w:spacing w:line="256" w:lineRule="auto"/>
        <w:rPr>
          <w:b/>
          <w:bCs/>
          <w:color w:val="000000"/>
          <w:sz w:val="20"/>
          <w:szCs w:val="20"/>
        </w:rPr>
      </w:pPr>
      <w:r>
        <w:rPr>
          <w:b/>
          <w:bCs/>
          <w:color w:val="000000"/>
          <w:sz w:val="20"/>
          <w:szCs w:val="20"/>
        </w:rPr>
        <w:t xml:space="preserve">Marci Lobel, PhD </w:t>
      </w:r>
      <w:r>
        <w:rPr>
          <w:color w:val="000000"/>
          <w:sz w:val="20"/>
          <w:szCs w:val="20"/>
        </w:rPr>
        <w:t>–</w:t>
      </w:r>
      <w:r>
        <w:rPr>
          <w:color w:val="FF0000"/>
          <w:sz w:val="20"/>
          <w:szCs w:val="20"/>
        </w:rPr>
        <w:t xml:space="preserve"> </w:t>
      </w:r>
      <w:r>
        <w:rPr>
          <w:color w:val="000000"/>
          <w:sz w:val="20"/>
          <w:szCs w:val="20"/>
        </w:rPr>
        <w:t>Professor, Department of Psychology, Stony Brook University</w:t>
      </w:r>
    </w:p>
    <w:p w14:paraId="24EFDD24" w14:textId="77777777" w:rsidR="00D81755" w:rsidRDefault="00D81755">
      <w:pPr>
        <w:pBdr>
          <w:top w:val="nil"/>
          <w:left w:val="nil"/>
          <w:bottom w:val="nil"/>
          <w:right w:val="nil"/>
          <w:between w:val="nil"/>
        </w:pBdr>
        <w:spacing w:line="256" w:lineRule="auto"/>
        <w:rPr>
          <w:b/>
          <w:bCs/>
          <w:color w:val="000000"/>
          <w:sz w:val="20"/>
          <w:szCs w:val="20"/>
        </w:rPr>
      </w:pPr>
    </w:p>
    <w:p w14:paraId="24EFDD25" w14:textId="77777777" w:rsidR="00D81755" w:rsidRDefault="0073296A">
      <w:pPr>
        <w:pBdr>
          <w:top w:val="nil"/>
          <w:left w:val="nil"/>
          <w:bottom w:val="nil"/>
          <w:right w:val="nil"/>
          <w:between w:val="nil"/>
        </w:pBdr>
        <w:spacing w:line="256" w:lineRule="auto"/>
        <w:rPr>
          <w:color w:val="000000"/>
          <w:sz w:val="20"/>
          <w:szCs w:val="20"/>
        </w:rPr>
      </w:pPr>
      <w:r>
        <w:rPr>
          <w:b/>
          <w:bCs/>
          <w:color w:val="000000"/>
          <w:sz w:val="20"/>
          <w:szCs w:val="20"/>
        </w:rPr>
        <w:t xml:space="preserve">Frank Mann, PhD – </w:t>
      </w:r>
      <w:r>
        <w:rPr>
          <w:color w:val="000000"/>
          <w:sz w:val="20"/>
          <w:szCs w:val="20"/>
        </w:rPr>
        <w:t>Senior</w:t>
      </w:r>
      <w:r>
        <w:rPr>
          <w:b/>
          <w:bCs/>
          <w:color w:val="000000"/>
          <w:sz w:val="20"/>
          <w:szCs w:val="20"/>
        </w:rPr>
        <w:t xml:space="preserve"> </w:t>
      </w:r>
      <w:r>
        <w:rPr>
          <w:color w:val="000000"/>
          <w:sz w:val="20"/>
          <w:szCs w:val="20"/>
        </w:rPr>
        <w:t>Research Scientist, PPH</w:t>
      </w:r>
    </w:p>
    <w:p w14:paraId="24EFDD26" w14:textId="77777777" w:rsidR="00D81755" w:rsidRDefault="00D81755">
      <w:pPr>
        <w:pBdr>
          <w:top w:val="nil"/>
          <w:left w:val="nil"/>
          <w:bottom w:val="nil"/>
          <w:right w:val="nil"/>
          <w:between w:val="nil"/>
        </w:pBdr>
        <w:spacing w:line="256" w:lineRule="auto"/>
        <w:rPr>
          <w:b/>
          <w:bCs/>
          <w:color w:val="000000"/>
          <w:sz w:val="20"/>
          <w:szCs w:val="20"/>
        </w:rPr>
      </w:pPr>
    </w:p>
    <w:p w14:paraId="24EFDD27" w14:textId="77777777" w:rsidR="00D81755" w:rsidRDefault="0073296A">
      <w:pPr>
        <w:pBdr>
          <w:top w:val="nil"/>
          <w:left w:val="nil"/>
          <w:bottom w:val="nil"/>
          <w:right w:val="nil"/>
          <w:between w:val="nil"/>
        </w:pBdr>
        <w:spacing w:line="256" w:lineRule="auto"/>
        <w:rPr>
          <w:color w:val="000000"/>
          <w:sz w:val="20"/>
          <w:szCs w:val="20"/>
        </w:rPr>
      </w:pPr>
      <w:r>
        <w:rPr>
          <w:b/>
          <w:bCs/>
          <w:color w:val="000000"/>
          <w:sz w:val="20"/>
          <w:szCs w:val="20"/>
        </w:rPr>
        <w:t>Jennifer Manganello, Ph.D. </w:t>
      </w:r>
      <w:r>
        <w:rPr>
          <w:color w:val="000000"/>
          <w:sz w:val="20"/>
          <w:szCs w:val="20"/>
        </w:rPr>
        <w:t>– Adjunct; Professor, School of Public Health, University at Albany, Department of Health Policy, Management and Behavior</w:t>
      </w:r>
    </w:p>
    <w:p w14:paraId="24EFDD28" w14:textId="77777777" w:rsidR="00D81755" w:rsidRDefault="00D81755">
      <w:pPr>
        <w:pBdr>
          <w:top w:val="nil"/>
          <w:left w:val="nil"/>
          <w:bottom w:val="nil"/>
          <w:right w:val="nil"/>
          <w:between w:val="nil"/>
        </w:pBdr>
        <w:spacing w:line="256" w:lineRule="auto"/>
        <w:rPr>
          <w:b/>
          <w:bCs/>
          <w:color w:val="000000"/>
          <w:sz w:val="20"/>
          <w:szCs w:val="20"/>
        </w:rPr>
      </w:pPr>
    </w:p>
    <w:p w14:paraId="24EFDD29" w14:textId="77777777" w:rsidR="00D81755" w:rsidRDefault="0073296A">
      <w:pPr>
        <w:pBdr>
          <w:top w:val="nil"/>
          <w:left w:val="nil"/>
          <w:bottom w:val="nil"/>
          <w:right w:val="nil"/>
          <w:between w:val="nil"/>
        </w:pBdr>
        <w:spacing w:line="256" w:lineRule="auto"/>
        <w:rPr>
          <w:color w:val="000000"/>
          <w:sz w:val="20"/>
          <w:szCs w:val="20"/>
        </w:rPr>
      </w:pPr>
      <w:r>
        <w:rPr>
          <w:b/>
          <w:bCs/>
          <w:color w:val="000000"/>
          <w:sz w:val="20"/>
          <w:szCs w:val="20"/>
        </w:rPr>
        <w:t>Catherine Marrone, PhD</w:t>
      </w:r>
      <w:r>
        <w:rPr>
          <w:color w:val="000000"/>
          <w:sz w:val="20"/>
          <w:szCs w:val="20"/>
        </w:rPr>
        <w:t xml:space="preserve"> – Advanced Senior Lecturer, Department of Sociology; Director of Undergraduate Studies, Stony Brook University</w:t>
      </w:r>
    </w:p>
    <w:p w14:paraId="24EFDD2A" w14:textId="77777777" w:rsidR="00D81755" w:rsidRDefault="00D81755">
      <w:pPr>
        <w:pBdr>
          <w:top w:val="nil"/>
          <w:left w:val="nil"/>
          <w:bottom w:val="nil"/>
          <w:right w:val="nil"/>
          <w:between w:val="nil"/>
        </w:pBdr>
        <w:spacing w:line="256" w:lineRule="auto"/>
        <w:rPr>
          <w:b/>
          <w:bCs/>
          <w:color w:val="000000"/>
          <w:sz w:val="20"/>
          <w:szCs w:val="20"/>
        </w:rPr>
      </w:pPr>
    </w:p>
    <w:p w14:paraId="24EFDD2B" w14:textId="77777777" w:rsidR="00D81755" w:rsidRDefault="0073296A">
      <w:pPr>
        <w:pBdr>
          <w:top w:val="nil"/>
          <w:left w:val="nil"/>
          <w:bottom w:val="nil"/>
          <w:right w:val="nil"/>
          <w:between w:val="nil"/>
        </w:pBdr>
        <w:spacing w:line="256" w:lineRule="auto"/>
        <w:rPr>
          <w:color w:val="000000"/>
          <w:sz w:val="20"/>
          <w:szCs w:val="20"/>
        </w:rPr>
      </w:pPr>
      <w:r>
        <w:rPr>
          <w:b/>
          <w:bCs/>
          <w:color w:val="000000"/>
          <w:sz w:val="20"/>
          <w:szCs w:val="20"/>
        </w:rPr>
        <w:t xml:space="preserve">Gina Mathew, PhD – </w:t>
      </w:r>
      <w:r>
        <w:rPr>
          <w:color w:val="000000"/>
          <w:sz w:val="20"/>
          <w:szCs w:val="20"/>
        </w:rPr>
        <w:t>Post-doctoral Associate, PPH</w:t>
      </w:r>
    </w:p>
    <w:p w14:paraId="24EFDD2C" w14:textId="77777777" w:rsidR="00D81755" w:rsidRDefault="00D81755">
      <w:pPr>
        <w:pBdr>
          <w:top w:val="nil"/>
          <w:left w:val="nil"/>
          <w:bottom w:val="nil"/>
          <w:right w:val="nil"/>
          <w:between w:val="nil"/>
        </w:pBdr>
        <w:spacing w:line="256" w:lineRule="auto"/>
        <w:rPr>
          <w:b/>
          <w:bCs/>
          <w:color w:val="000000"/>
          <w:sz w:val="20"/>
          <w:szCs w:val="20"/>
        </w:rPr>
      </w:pPr>
    </w:p>
    <w:p w14:paraId="24EFDD2D" w14:textId="77777777" w:rsidR="00D81755" w:rsidRDefault="0073296A">
      <w:pPr>
        <w:pBdr>
          <w:top w:val="nil"/>
          <w:left w:val="nil"/>
          <w:bottom w:val="nil"/>
          <w:right w:val="nil"/>
          <w:between w:val="nil"/>
        </w:pBdr>
        <w:spacing w:line="256" w:lineRule="auto"/>
        <w:rPr>
          <w:color w:val="000000"/>
          <w:sz w:val="20"/>
          <w:szCs w:val="20"/>
        </w:rPr>
      </w:pPr>
      <w:r>
        <w:rPr>
          <w:b/>
          <w:bCs/>
          <w:color w:val="000000"/>
          <w:sz w:val="20"/>
          <w:szCs w:val="20"/>
        </w:rPr>
        <w:t>Michael McClain, MS</w:t>
      </w:r>
      <w:r>
        <w:rPr>
          <w:color w:val="000000"/>
          <w:sz w:val="20"/>
          <w:szCs w:val="20"/>
        </w:rPr>
        <w:t xml:space="preserve"> – Director of Communications, Department of Psychiatry and Behavioral Science, Stony Brook University; Senior Lecturer in Philosophy, St. Joseph’s College</w:t>
      </w:r>
    </w:p>
    <w:p w14:paraId="24EFDD2E" w14:textId="77777777" w:rsidR="00D81755" w:rsidRDefault="00D81755">
      <w:pPr>
        <w:pBdr>
          <w:top w:val="nil"/>
          <w:left w:val="nil"/>
          <w:bottom w:val="nil"/>
          <w:right w:val="nil"/>
          <w:between w:val="nil"/>
        </w:pBdr>
        <w:spacing w:line="256" w:lineRule="auto"/>
        <w:rPr>
          <w:b/>
          <w:bCs/>
          <w:color w:val="000000"/>
          <w:sz w:val="20"/>
          <w:szCs w:val="20"/>
        </w:rPr>
      </w:pPr>
    </w:p>
    <w:p w14:paraId="24EFDD2F" w14:textId="77777777" w:rsidR="00D81755" w:rsidRDefault="0073296A">
      <w:pPr>
        <w:pBdr>
          <w:top w:val="nil"/>
          <w:left w:val="nil"/>
          <w:bottom w:val="nil"/>
          <w:right w:val="nil"/>
          <w:between w:val="nil"/>
        </w:pBdr>
        <w:spacing w:line="256" w:lineRule="auto"/>
        <w:rPr>
          <w:color w:val="000000"/>
          <w:sz w:val="20"/>
          <w:szCs w:val="20"/>
        </w:rPr>
      </w:pPr>
      <w:r>
        <w:rPr>
          <w:b/>
          <w:bCs/>
          <w:color w:val="000000"/>
          <w:sz w:val="20"/>
          <w:szCs w:val="20"/>
        </w:rPr>
        <w:t xml:space="preserve">Anne E. McElroy, PhD </w:t>
      </w:r>
      <w:r>
        <w:rPr>
          <w:color w:val="000000"/>
          <w:sz w:val="20"/>
          <w:szCs w:val="20"/>
        </w:rPr>
        <w:t>–</w:t>
      </w:r>
      <w:r>
        <w:rPr>
          <w:b/>
          <w:bCs/>
          <w:color w:val="000000"/>
          <w:sz w:val="20"/>
          <w:szCs w:val="20"/>
        </w:rPr>
        <w:t xml:space="preserve"> </w:t>
      </w:r>
      <w:r>
        <w:rPr>
          <w:color w:val="000000"/>
          <w:sz w:val="20"/>
          <w:szCs w:val="20"/>
        </w:rPr>
        <w:t>Professor, School of Marine and Atmospheric Sciences</w:t>
      </w:r>
    </w:p>
    <w:p w14:paraId="24EFDD30" w14:textId="77777777" w:rsidR="00D81755" w:rsidRDefault="00D81755">
      <w:pPr>
        <w:pBdr>
          <w:top w:val="nil"/>
          <w:left w:val="nil"/>
          <w:bottom w:val="nil"/>
          <w:right w:val="nil"/>
          <w:between w:val="nil"/>
        </w:pBdr>
        <w:spacing w:line="256" w:lineRule="auto"/>
        <w:rPr>
          <w:b/>
          <w:bCs/>
          <w:color w:val="000000"/>
          <w:sz w:val="20"/>
          <w:szCs w:val="20"/>
        </w:rPr>
      </w:pPr>
    </w:p>
    <w:p w14:paraId="24EFDD31" w14:textId="77777777" w:rsidR="00D81755" w:rsidRDefault="0073296A">
      <w:pPr>
        <w:pBdr>
          <w:top w:val="nil"/>
          <w:left w:val="nil"/>
          <w:bottom w:val="nil"/>
          <w:right w:val="nil"/>
          <w:between w:val="nil"/>
        </w:pBdr>
        <w:spacing w:line="256" w:lineRule="auto"/>
        <w:rPr>
          <w:color w:val="000000"/>
          <w:sz w:val="20"/>
          <w:szCs w:val="20"/>
        </w:rPr>
      </w:pPr>
      <w:r>
        <w:rPr>
          <w:b/>
          <w:bCs/>
          <w:color w:val="000000"/>
          <w:sz w:val="20"/>
          <w:szCs w:val="20"/>
        </w:rPr>
        <w:t>Linda Mermelstein, MD, MPH</w:t>
      </w:r>
      <w:r>
        <w:rPr>
          <w:color w:val="000000"/>
          <w:sz w:val="20"/>
          <w:szCs w:val="20"/>
        </w:rPr>
        <w:t xml:space="preserve"> – Director, Stony Brook Medicine Cancer Center; Clinical Assistant Professor, Department of Family, Population &amp; Preventive Medicine; Retired Director of Compliance, Suffolk County of Department Health Services </w:t>
      </w:r>
    </w:p>
    <w:p w14:paraId="24EFDD32" w14:textId="77777777" w:rsidR="00D81755" w:rsidRDefault="00D81755">
      <w:pPr>
        <w:pBdr>
          <w:top w:val="nil"/>
          <w:left w:val="nil"/>
          <w:bottom w:val="nil"/>
          <w:right w:val="nil"/>
          <w:between w:val="nil"/>
        </w:pBdr>
        <w:spacing w:line="256" w:lineRule="auto"/>
        <w:rPr>
          <w:b/>
          <w:bCs/>
          <w:color w:val="000000"/>
          <w:sz w:val="20"/>
          <w:szCs w:val="20"/>
        </w:rPr>
      </w:pPr>
    </w:p>
    <w:p w14:paraId="24EFDD33" w14:textId="77777777" w:rsidR="00D81755" w:rsidRDefault="0073296A">
      <w:pPr>
        <w:pBdr>
          <w:top w:val="nil"/>
          <w:left w:val="nil"/>
          <w:bottom w:val="nil"/>
          <w:right w:val="nil"/>
          <w:between w:val="nil"/>
        </w:pBdr>
        <w:spacing w:line="256" w:lineRule="auto"/>
        <w:rPr>
          <w:color w:val="333333"/>
          <w:sz w:val="20"/>
          <w:szCs w:val="20"/>
          <w:highlight w:val="white"/>
        </w:rPr>
      </w:pPr>
      <w:r>
        <w:rPr>
          <w:b/>
          <w:bCs/>
          <w:color w:val="000000"/>
          <w:sz w:val="20"/>
          <w:szCs w:val="20"/>
        </w:rPr>
        <w:t>Catherine Messina, PhD –</w:t>
      </w:r>
      <w:r>
        <w:rPr>
          <w:color w:val="333333"/>
          <w:sz w:val="20"/>
          <w:szCs w:val="20"/>
          <w:highlight w:val="white"/>
        </w:rPr>
        <w:t xml:space="preserve">Research Associate Professor, Department of Family, Population &amp; Preventive Medicine </w:t>
      </w:r>
    </w:p>
    <w:p w14:paraId="24EFDD34" w14:textId="77777777" w:rsidR="00D81755" w:rsidRDefault="00D81755">
      <w:pPr>
        <w:pBdr>
          <w:top w:val="nil"/>
          <w:left w:val="nil"/>
          <w:bottom w:val="nil"/>
          <w:right w:val="nil"/>
          <w:between w:val="nil"/>
        </w:pBdr>
        <w:spacing w:line="256" w:lineRule="auto"/>
        <w:rPr>
          <w:b/>
          <w:bCs/>
          <w:sz w:val="20"/>
          <w:szCs w:val="20"/>
        </w:rPr>
      </w:pPr>
    </w:p>
    <w:p w14:paraId="24EFDD35" w14:textId="77777777" w:rsidR="00D81755" w:rsidRDefault="0073296A">
      <w:pPr>
        <w:pBdr>
          <w:top w:val="nil"/>
          <w:left w:val="nil"/>
          <w:bottom w:val="nil"/>
          <w:right w:val="nil"/>
          <w:between w:val="nil"/>
        </w:pBdr>
        <w:spacing w:line="256" w:lineRule="auto"/>
        <w:rPr>
          <w:color w:val="000000"/>
          <w:sz w:val="20"/>
          <w:szCs w:val="20"/>
        </w:rPr>
      </w:pPr>
      <w:r>
        <w:rPr>
          <w:b/>
          <w:bCs/>
          <w:color w:val="000000"/>
          <w:sz w:val="20"/>
          <w:szCs w:val="20"/>
        </w:rPr>
        <w:t>Anne Moyer, PhD</w:t>
      </w:r>
      <w:r>
        <w:rPr>
          <w:color w:val="000000"/>
          <w:sz w:val="20"/>
          <w:szCs w:val="20"/>
        </w:rPr>
        <w:t xml:space="preserve"> – Associate Professor, Department of Psychology; Co-Director of Social and Health Program, Stony Brook University</w:t>
      </w:r>
    </w:p>
    <w:p w14:paraId="24EFDD36" w14:textId="77777777" w:rsidR="00D81755" w:rsidRDefault="00D81755">
      <w:pPr>
        <w:pBdr>
          <w:top w:val="nil"/>
          <w:left w:val="nil"/>
          <w:bottom w:val="nil"/>
          <w:right w:val="nil"/>
          <w:between w:val="nil"/>
        </w:pBdr>
        <w:spacing w:line="256" w:lineRule="auto"/>
        <w:rPr>
          <w:b/>
          <w:bCs/>
          <w:color w:val="000000"/>
          <w:sz w:val="20"/>
          <w:szCs w:val="20"/>
        </w:rPr>
      </w:pPr>
    </w:p>
    <w:p w14:paraId="24EFDD37" w14:textId="77777777" w:rsidR="00D81755" w:rsidRDefault="0073296A">
      <w:pPr>
        <w:pBdr>
          <w:top w:val="nil"/>
          <w:left w:val="nil"/>
          <w:bottom w:val="nil"/>
          <w:right w:val="nil"/>
          <w:between w:val="nil"/>
        </w:pBdr>
        <w:spacing w:after="160" w:line="256" w:lineRule="auto"/>
        <w:rPr>
          <w:color w:val="000000"/>
          <w:sz w:val="20"/>
          <w:szCs w:val="20"/>
        </w:rPr>
      </w:pPr>
      <w:r>
        <w:rPr>
          <w:b/>
          <w:bCs/>
          <w:color w:val="000000"/>
          <w:sz w:val="20"/>
          <w:szCs w:val="20"/>
        </w:rPr>
        <w:t xml:space="preserve">Barbara Nemesure, PhD </w:t>
      </w:r>
      <w:r>
        <w:rPr>
          <w:color w:val="000000"/>
          <w:sz w:val="20"/>
          <w:szCs w:val="20"/>
        </w:rPr>
        <w:t>–</w:t>
      </w:r>
      <w:r>
        <w:rPr>
          <w:color w:val="FF0000"/>
          <w:sz w:val="20"/>
          <w:szCs w:val="20"/>
        </w:rPr>
        <w:t xml:space="preserve"> </w:t>
      </w:r>
      <w:r>
        <w:rPr>
          <w:color w:val="000000"/>
          <w:sz w:val="20"/>
          <w:szCs w:val="20"/>
        </w:rPr>
        <w:t>Professor</w:t>
      </w:r>
      <w:r>
        <w:rPr>
          <w:color w:val="FF0000"/>
          <w:sz w:val="20"/>
          <w:szCs w:val="20"/>
        </w:rPr>
        <w:t xml:space="preserve"> </w:t>
      </w:r>
      <w:r>
        <w:rPr>
          <w:color w:val="000000"/>
          <w:sz w:val="20"/>
          <w:szCs w:val="20"/>
        </w:rPr>
        <w:t>and Division Head, Epidemiology and Biostatistics, Department of Family, Population &amp; Preventive Medicine; Stony Brook Cancer Center, Director, Cancer Prevention &amp; Control Program; Director, Lung Cancer Program</w:t>
      </w:r>
    </w:p>
    <w:p w14:paraId="24EFDD38" w14:textId="77777777" w:rsidR="00D81755" w:rsidRDefault="0073296A">
      <w:pPr>
        <w:pBdr>
          <w:top w:val="nil"/>
          <w:left w:val="nil"/>
          <w:bottom w:val="nil"/>
          <w:right w:val="nil"/>
          <w:between w:val="nil"/>
        </w:pBdr>
        <w:spacing w:line="256" w:lineRule="auto"/>
        <w:rPr>
          <w:color w:val="000000"/>
          <w:sz w:val="20"/>
          <w:szCs w:val="20"/>
        </w:rPr>
      </w:pPr>
      <w:r>
        <w:rPr>
          <w:b/>
          <w:bCs/>
          <w:color w:val="000000"/>
          <w:sz w:val="20"/>
          <w:szCs w:val="20"/>
        </w:rPr>
        <w:t>Lester Paldy, MS</w:t>
      </w:r>
      <w:r>
        <w:rPr>
          <w:color w:val="000000"/>
          <w:sz w:val="20"/>
          <w:szCs w:val="20"/>
        </w:rPr>
        <w:t xml:space="preserve"> – Guest Lecturer; Distinguished Service Professor, Technology and Society, College of Engineering and Applied Sciences, Stony Brook University</w:t>
      </w:r>
    </w:p>
    <w:p w14:paraId="24EFDD39" w14:textId="77777777" w:rsidR="00D81755" w:rsidRDefault="00D81755">
      <w:pPr>
        <w:pBdr>
          <w:top w:val="nil"/>
          <w:left w:val="nil"/>
          <w:bottom w:val="nil"/>
          <w:right w:val="nil"/>
          <w:between w:val="nil"/>
        </w:pBdr>
        <w:spacing w:line="256" w:lineRule="auto"/>
        <w:rPr>
          <w:b/>
          <w:bCs/>
          <w:color w:val="000000"/>
          <w:sz w:val="20"/>
          <w:szCs w:val="20"/>
        </w:rPr>
      </w:pPr>
    </w:p>
    <w:p w14:paraId="24EFDD3A" w14:textId="77777777" w:rsidR="00D81755" w:rsidRDefault="0073296A">
      <w:pPr>
        <w:pBdr>
          <w:top w:val="nil"/>
          <w:left w:val="nil"/>
          <w:bottom w:val="nil"/>
          <w:right w:val="nil"/>
          <w:between w:val="nil"/>
        </w:pBdr>
        <w:spacing w:line="256" w:lineRule="auto"/>
        <w:rPr>
          <w:sz w:val="20"/>
          <w:szCs w:val="20"/>
        </w:rPr>
      </w:pPr>
      <w:r>
        <w:rPr>
          <w:b/>
          <w:bCs/>
          <w:sz w:val="20"/>
          <w:szCs w:val="20"/>
        </w:rPr>
        <w:t xml:space="preserve">Gabriella Pandolfelli, PhD, MPH - </w:t>
      </w:r>
      <w:r>
        <w:rPr>
          <w:sz w:val="20"/>
          <w:szCs w:val="20"/>
        </w:rPr>
        <w:t>Director of Epidemiology and Public Health Analytics at Catholic Health; Voluntary Faculty Program in Public Health</w:t>
      </w:r>
    </w:p>
    <w:p w14:paraId="24EFDD3B" w14:textId="77777777" w:rsidR="00D81755" w:rsidRDefault="00D81755">
      <w:pPr>
        <w:pBdr>
          <w:top w:val="nil"/>
          <w:left w:val="nil"/>
          <w:bottom w:val="nil"/>
          <w:right w:val="nil"/>
          <w:between w:val="nil"/>
        </w:pBdr>
        <w:spacing w:line="256" w:lineRule="auto"/>
        <w:rPr>
          <w:sz w:val="20"/>
          <w:szCs w:val="20"/>
        </w:rPr>
      </w:pPr>
    </w:p>
    <w:p w14:paraId="24EFDD3C" w14:textId="77777777" w:rsidR="00D81755" w:rsidRDefault="0073296A">
      <w:pPr>
        <w:pBdr>
          <w:top w:val="nil"/>
          <w:left w:val="nil"/>
          <w:bottom w:val="nil"/>
          <w:right w:val="nil"/>
          <w:between w:val="nil"/>
        </w:pBdr>
        <w:spacing w:line="256" w:lineRule="auto"/>
        <w:rPr>
          <w:color w:val="000000"/>
          <w:sz w:val="20"/>
          <w:szCs w:val="20"/>
        </w:rPr>
      </w:pPr>
      <w:r>
        <w:rPr>
          <w:b/>
          <w:bCs/>
          <w:color w:val="000000"/>
          <w:sz w:val="20"/>
          <w:szCs w:val="20"/>
        </w:rPr>
        <w:t xml:space="preserve">Michael Pearl, MD </w:t>
      </w:r>
      <w:r>
        <w:rPr>
          <w:color w:val="000000"/>
          <w:sz w:val="20"/>
          <w:szCs w:val="20"/>
        </w:rPr>
        <w:t>– Professor, Department of Obstetrics, Gynecology and Reproductive Medicine; Director of Gynecology Oncology, Stony Brook Medicine</w:t>
      </w:r>
    </w:p>
    <w:p w14:paraId="24EFDD3D" w14:textId="77777777" w:rsidR="00D81755" w:rsidRDefault="00D81755">
      <w:pPr>
        <w:pBdr>
          <w:top w:val="nil"/>
          <w:left w:val="nil"/>
          <w:bottom w:val="nil"/>
          <w:right w:val="nil"/>
          <w:between w:val="nil"/>
        </w:pBdr>
        <w:spacing w:line="256" w:lineRule="auto"/>
        <w:rPr>
          <w:b/>
          <w:bCs/>
          <w:color w:val="000000"/>
          <w:sz w:val="20"/>
          <w:szCs w:val="20"/>
        </w:rPr>
      </w:pPr>
    </w:p>
    <w:p w14:paraId="24EFDD3E" w14:textId="77777777" w:rsidR="00D81755" w:rsidRDefault="0073296A">
      <w:pPr>
        <w:pBdr>
          <w:top w:val="nil"/>
          <w:left w:val="nil"/>
          <w:bottom w:val="nil"/>
          <w:right w:val="nil"/>
          <w:between w:val="nil"/>
        </w:pBdr>
        <w:spacing w:line="256" w:lineRule="auto"/>
        <w:rPr>
          <w:color w:val="000000"/>
          <w:sz w:val="20"/>
          <w:szCs w:val="20"/>
        </w:rPr>
      </w:pPr>
      <w:r>
        <w:rPr>
          <w:b/>
          <w:bCs/>
          <w:color w:val="000000"/>
          <w:sz w:val="20"/>
          <w:szCs w:val="20"/>
        </w:rPr>
        <w:t>Gregson H. Pigott, MD, MPH</w:t>
      </w:r>
      <w:r>
        <w:rPr>
          <w:color w:val="000000"/>
          <w:sz w:val="20"/>
          <w:szCs w:val="20"/>
        </w:rPr>
        <w:t xml:space="preserve"> – Guest Lecturer; Clinical Assistant Professor, Department of Family, Population &amp; Preventive Medicine; Commissioner of Health, Suffolk County Department of Health</w:t>
      </w:r>
    </w:p>
    <w:p w14:paraId="24EFDD3F" w14:textId="77777777" w:rsidR="00D81755" w:rsidRDefault="00D81755">
      <w:pPr>
        <w:pBdr>
          <w:top w:val="nil"/>
          <w:left w:val="nil"/>
          <w:bottom w:val="nil"/>
          <w:right w:val="nil"/>
          <w:between w:val="nil"/>
        </w:pBdr>
        <w:spacing w:line="256" w:lineRule="auto"/>
        <w:rPr>
          <w:b/>
          <w:bCs/>
          <w:color w:val="000000"/>
          <w:sz w:val="20"/>
          <w:szCs w:val="20"/>
        </w:rPr>
      </w:pPr>
    </w:p>
    <w:p w14:paraId="24EFDD40" w14:textId="77777777" w:rsidR="00D81755" w:rsidRDefault="0073296A">
      <w:pPr>
        <w:pBdr>
          <w:top w:val="nil"/>
          <w:left w:val="nil"/>
          <w:bottom w:val="nil"/>
          <w:right w:val="nil"/>
          <w:between w:val="nil"/>
        </w:pBdr>
        <w:spacing w:line="256" w:lineRule="auto"/>
        <w:rPr>
          <w:color w:val="000000"/>
          <w:sz w:val="20"/>
          <w:szCs w:val="20"/>
        </w:rPr>
      </w:pPr>
      <w:r>
        <w:rPr>
          <w:b/>
          <w:bCs/>
          <w:color w:val="000000"/>
          <w:sz w:val="20"/>
          <w:szCs w:val="20"/>
        </w:rPr>
        <w:lastRenderedPageBreak/>
        <w:t xml:space="preserve">Chole Puett, PhD </w:t>
      </w:r>
      <w:r>
        <w:rPr>
          <w:color w:val="000000"/>
          <w:sz w:val="20"/>
          <w:szCs w:val="20"/>
        </w:rPr>
        <w:t xml:space="preserve">– Research Assistant Professor, Department of Family, Population &amp; Preventive Medicine; Collaborator, International Food Policy Research Institute; Senior Research Advisor, Action Against Hunger </w:t>
      </w:r>
    </w:p>
    <w:p w14:paraId="24EFDD41" w14:textId="77777777" w:rsidR="00D81755" w:rsidRDefault="00D81755">
      <w:pPr>
        <w:pBdr>
          <w:top w:val="nil"/>
          <w:left w:val="nil"/>
          <w:bottom w:val="nil"/>
          <w:right w:val="nil"/>
          <w:between w:val="nil"/>
        </w:pBdr>
        <w:spacing w:line="256" w:lineRule="auto"/>
        <w:rPr>
          <w:b/>
          <w:bCs/>
          <w:color w:val="000000"/>
          <w:sz w:val="20"/>
          <w:szCs w:val="20"/>
        </w:rPr>
      </w:pPr>
    </w:p>
    <w:p w14:paraId="24EFDD42" w14:textId="77777777" w:rsidR="00D81755" w:rsidRDefault="0073296A">
      <w:pPr>
        <w:pBdr>
          <w:top w:val="nil"/>
          <w:left w:val="nil"/>
          <w:bottom w:val="nil"/>
          <w:right w:val="nil"/>
          <w:between w:val="nil"/>
        </w:pBdr>
        <w:spacing w:line="256" w:lineRule="auto"/>
        <w:rPr>
          <w:color w:val="000000"/>
          <w:sz w:val="20"/>
          <w:szCs w:val="20"/>
        </w:rPr>
      </w:pPr>
      <w:r>
        <w:rPr>
          <w:b/>
          <w:bCs/>
          <w:color w:val="000000"/>
          <w:sz w:val="20"/>
          <w:szCs w:val="20"/>
        </w:rPr>
        <w:t xml:space="preserve">Charles L. Robbins, DSW </w:t>
      </w:r>
      <w:r>
        <w:rPr>
          <w:color w:val="000000"/>
          <w:sz w:val="20"/>
          <w:szCs w:val="20"/>
        </w:rPr>
        <w:t>–</w:t>
      </w:r>
      <w:r>
        <w:rPr>
          <w:color w:val="FF0000"/>
          <w:sz w:val="20"/>
          <w:szCs w:val="20"/>
        </w:rPr>
        <w:t xml:space="preserve"> </w:t>
      </w:r>
      <w:r>
        <w:rPr>
          <w:color w:val="000000"/>
          <w:sz w:val="20"/>
          <w:szCs w:val="20"/>
        </w:rPr>
        <w:t>Professor, School of Social Welfare; (Retired) Executive Director, Center for Changing Systems of Power</w:t>
      </w:r>
    </w:p>
    <w:p w14:paraId="24EFDD43" w14:textId="77777777" w:rsidR="00D81755" w:rsidRDefault="00D81755">
      <w:pPr>
        <w:pBdr>
          <w:top w:val="nil"/>
          <w:left w:val="nil"/>
          <w:bottom w:val="nil"/>
          <w:right w:val="nil"/>
          <w:between w:val="nil"/>
        </w:pBdr>
        <w:spacing w:line="256" w:lineRule="auto"/>
        <w:rPr>
          <w:color w:val="000000"/>
          <w:sz w:val="20"/>
          <w:szCs w:val="20"/>
        </w:rPr>
      </w:pPr>
    </w:p>
    <w:p w14:paraId="24EFDD44" w14:textId="77777777" w:rsidR="00D81755" w:rsidRDefault="0073296A">
      <w:pPr>
        <w:pBdr>
          <w:top w:val="nil"/>
          <w:left w:val="nil"/>
          <w:bottom w:val="nil"/>
          <w:right w:val="nil"/>
          <w:between w:val="nil"/>
        </w:pBdr>
        <w:spacing w:line="256" w:lineRule="auto"/>
        <w:rPr>
          <w:color w:val="000000"/>
          <w:sz w:val="20"/>
          <w:szCs w:val="20"/>
        </w:rPr>
      </w:pPr>
      <w:r>
        <w:rPr>
          <w:b/>
          <w:bCs/>
          <w:color w:val="000000"/>
          <w:sz w:val="20"/>
          <w:szCs w:val="20"/>
        </w:rPr>
        <w:t>Pablo Ros, MD</w:t>
      </w:r>
      <w:r>
        <w:rPr>
          <w:color w:val="000000"/>
          <w:sz w:val="20"/>
          <w:szCs w:val="20"/>
        </w:rPr>
        <w:t xml:space="preserve"> – Professor and Vice Chair, Department of Radiology, Stony Brook Medicine</w:t>
      </w:r>
    </w:p>
    <w:p w14:paraId="24EFDD45" w14:textId="77777777" w:rsidR="00D81755" w:rsidRDefault="00D81755">
      <w:pPr>
        <w:pBdr>
          <w:top w:val="nil"/>
          <w:left w:val="nil"/>
          <w:bottom w:val="nil"/>
          <w:right w:val="nil"/>
          <w:between w:val="nil"/>
        </w:pBdr>
        <w:spacing w:line="256" w:lineRule="auto"/>
        <w:rPr>
          <w:b/>
          <w:bCs/>
          <w:color w:val="000000"/>
          <w:sz w:val="20"/>
          <w:szCs w:val="20"/>
        </w:rPr>
      </w:pPr>
    </w:p>
    <w:p w14:paraId="24EFDD46" w14:textId="77777777" w:rsidR="00D81755" w:rsidRDefault="0073296A">
      <w:pPr>
        <w:pBdr>
          <w:top w:val="nil"/>
          <w:left w:val="nil"/>
          <w:bottom w:val="nil"/>
          <w:right w:val="nil"/>
          <w:between w:val="nil"/>
        </w:pBdr>
        <w:spacing w:line="256" w:lineRule="auto"/>
        <w:rPr>
          <w:color w:val="000000"/>
          <w:sz w:val="20"/>
          <w:szCs w:val="20"/>
        </w:rPr>
      </w:pPr>
      <w:r>
        <w:rPr>
          <w:b/>
          <w:bCs/>
          <w:color w:val="000000"/>
          <w:sz w:val="20"/>
          <w:szCs w:val="20"/>
        </w:rPr>
        <w:t>Jordana Rothschild, MD, MPH</w:t>
      </w:r>
      <w:r>
        <w:rPr>
          <w:color w:val="000000"/>
          <w:sz w:val="20"/>
          <w:szCs w:val="20"/>
        </w:rPr>
        <w:t xml:space="preserve"> – Attending Physician, Preventive Medicine, Public Health, Occupational and Environmental Medicine, Northwell Health</w:t>
      </w:r>
    </w:p>
    <w:p w14:paraId="24EFDD47" w14:textId="77777777" w:rsidR="00D81755" w:rsidRDefault="00D81755">
      <w:pPr>
        <w:pBdr>
          <w:top w:val="nil"/>
          <w:left w:val="nil"/>
          <w:bottom w:val="nil"/>
          <w:right w:val="nil"/>
          <w:between w:val="nil"/>
        </w:pBdr>
        <w:spacing w:line="256" w:lineRule="auto"/>
        <w:rPr>
          <w:b/>
          <w:bCs/>
          <w:color w:val="000000"/>
          <w:sz w:val="20"/>
          <w:szCs w:val="20"/>
        </w:rPr>
      </w:pPr>
    </w:p>
    <w:p w14:paraId="24EFDD48" w14:textId="77777777" w:rsidR="00D81755" w:rsidRDefault="0073296A">
      <w:pPr>
        <w:pBdr>
          <w:top w:val="nil"/>
          <w:left w:val="nil"/>
          <w:bottom w:val="nil"/>
          <w:right w:val="nil"/>
          <w:between w:val="nil"/>
        </w:pBdr>
        <w:spacing w:line="256" w:lineRule="auto"/>
        <w:rPr>
          <w:color w:val="000000"/>
          <w:sz w:val="20"/>
          <w:szCs w:val="20"/>
        </w:rPr>
      </w:pPr>
      <w:r>
        <w:rPr>
          <w:b/>
          <w:bCs/>
          <w:color w:val="000000"/>
          <w:sz w:val="20"/>
          <w:szCs w:val="20"/>
        </w:rPr>
        <w:t xml:space="preserve">Peter D. Salins, PhD </w:t>
      </w:r>
      <w:r>
        <w:rPr>
          <w:color w:val="000000"/>
          <w:sz w:val="20"/>
          <w:szCs w:val="20"/>
        </w:rPr>
        <w:t>–</w:t>
      </w:r>
      <w:r>
        <w:rPr>
          <w:color w:val="FF0000"/>
          <w:sz w:val="20"/>
          <w:szCs w:val="20"/>
        </w:rPr>
        <w:t xml:space="preserve"> </w:t>
      </w:r>
      <w:r>
        <w:rPr>
          <w:color w:val="000000"/>
          <w:sz w:val="20"/>
          <w:szCs w:val="20"/>
        </w:rPr>
        <w:t>Professor, Department of Political Science, Stony Brook University</w:t>
      </w:r>
    </w:p>
    <w:p w14:paraId="24EFDD49" w14:textId="77777777" w:rsidR="00D81755" w:rsidRDefault="00D81755">
      <w:pPr>
        <w:pBdr>
          <w:top w:val="nil"/>
          <w:left w:val="nil"/>
          <w:bottom w:val="nil"/>
          <w:right w:val="nil"/>
          <w:between w:val="nil"/>
        </w:pBdr>
        <w:spacing w:line="256" w:lineRule="auto"/>
        <w:rPr>
          <w:b/>
          <w:bCs/>
          <w:color w:val="000000"/>
          <w:sz w:val="20"/>
          <w:szCs w:val="20"/>
        </w:rPr>
      </w:pPr>
    </w:p>
    <w:p w14:paraId="24EFDD4A" w14:textId="77777777" w:rsidR="00D81755" w:rsidRDefault="0073296A">
      <w:pPr>
        <w:pBdr>
          <w:top w:val="nil"/>
          <w:left w:val="nil"/>
          <w:bottom w:val="nil"/>
          <w:right w:val="nil"/>
          <w:between w:val="nil"/>
        </w:pBdr>
        <w:spacing w:line="256" w:lineRule="auto"/>
        <w:rPr>
          <w:color w:val="000000"/>
          <w:sz w:val="20"/>
          <w:szCs w:val="20"/>
        </w:rPr>
      </w:pPr>
      <w:r>
        <w:rPr>
          <w:b/>
          <w:bCs/>
          <w:color w:val="000000"/>
          <w:sz w:val="20"/>
          <w:szCs w:val="20"/>
        </w:rPr>
        <w:t>Joel Saltz, MD, PhD</w:t>
      </w:r>
      <w:r>
        <w:rPr>
          <w:color w:val="000000"/>
          <w:sz w:val="20"/>
          <w:szCs w:val="20"/>
        </w:rPr>
        <w:t xml:space="preserve"> –Cherith Professor and Founding Chair, Department of Biomedical Informatics, Vice President for Clinical Informatics, Stony Brook Medicine, Associate Director, Stony Brook Cancer Center</w:t>
      </w:r>
    </w:p>
    <w:p w14:paraId="24EFDD4B" w14:textId="77777777" w:rsidR="00D81755" w:rsidRDefault="00D81755">
      <w:pPr>
        <w:pBdr>
          <w:top w:val="nil"/>
          <w:left w:val="nil"/>
          <w:bottom w:val="nil"/>
          <w:right w:val="nil"/>
          <w:between w:val="nil"/>
        </w:pBdr>
        <w:spacing w:line="256" w:lineRule="auto"/>
        <w:rPr>
          <w:b/>
          <w:bCs/>
          <w:color w:val="000000"/>
          <w:sz w:val="20"/>
          <w:szCs w:val="20"/>
        </w:rPr>
      </w:pPr>
    </w:p>
    <w:p w14:paraId="24EFDD4C" w14:textId="77777777" w:rsidR="00D81755" w:rsidRDefault="0073296A">
      <w:pPr>
        <w:pBdr>
          <w:top w:val="nil"/>
          <w:left w:val="nil"/>
          <w:bottom w:val="nil"/>
          <w:right w:val="nil"/>
          <w:between w:val="nil"/>
        </w:pBdr>
        <w:spacing w:line="256" w:lineRule="auto"/>
        <w:rPr>
          <w:color w:val="000000"/>
          <w:sz w:val="20"/>
          <w:szCs w:val="20"/>
        </w:rPr>
      </w:pPr>
      <w:r>
        <w:rPr>
          <w:b/>
          <w:bCs/>
          <w:color w:val="000000"/>
          <w:sz w:val="20"/>
          <w:szCs w:val="20"/>
        </w:rPr>
        <w:t>Mary Saltz, MD</w:t>
      </w:r>
      <w:r>
        <w:rPr>
          <w:color w:val="000000"/>
          <w:sz w:val="20"/>
          <w:szCs w:val="20"/>
        </w:rPr>
        <w:t xml:space="preserve"> – Chief Clinical Integration Officer, Stony Brook Medicine; Assistant Clinical Professor of Radiology; Assistant Clinical Professor of Biomedical Informatics</w:t>
      </w:r>
    </w:p>
    <w:p w14:paraId="24EFDD4D" w14:textId="77777777" w:rsidR="00D81755" w:rsidRDefault="00D81755">
      <w:pPr>
        <w:pBdr>
          <w:top w:val="nil"/>
          <w:left w:val="nil"/>
          <w:bottom w:val="nil"/>
          <w:right w:val="nil"/>
          <w:between w:val="nil"/>
        </w:pBdr>
        <w:spacing w:line="256" w:lineRule="auto"/>
        <w:rPr>
          <w:b/>
          <w:bCs/>
          <w:color w:val="000000"/>
          <w:sz w:val="20"/>
          <w:szCs w:val="20"/>
        </w:rPr>
      </w:pPr>
    </w:p>
    <w:p w14:paraId="24EFDD4E" w14:textId="77777777" w:rsidR="00D81755" w:rsidRDefault="0073296A">
      <w:pPr>
        <w:pBdr>
          <w:top w:val="nil"/>
          <w:left w:val="nil"/>
          <w:bottom w:val="nil"/>
          <w:right w:val="nil"/>
          <w:between w:val="nil"/>
        </w:pBdr>
        <w:spacing w:line="256" w:lineRule="auto"/>
        <w:rPr>
          <w:color w:val="000000"/>
          <w:sz w:val="20"/>
          <w:szCs w:val="20"/>
        </w:rPr>
      </w:pPr>
      <w:r>
        <w:rPr>
          <w:b/>
          <w:bCs/>
          <w:color w:val="000000"/>
          <w:sz w:val="20"/>
          <w:szCs w:val="20"/>
        </w:rPr>
        <w:t>Warren Sanderson, Ph.D. </w:t>
      </w:r>
      <w:r>
        <w:rPr>
          <w:color w:val="000000"/>
          <w:sz w:val="20"/>
          <w:szCs w:val="20"/>
        </w:rPr>
        <w:t>– Professor Emeritus, John S. Toll Professorship, Department of Economics, Stony Brook University</w:t>
      </w:r>
    </w:p>
    <w:p w14:paraId="24EFDD4F" w14:textId="77777777" w:rsidR="00D81755" w:rsidRDefault="00D81755">
      <w:pPr>
        <w:pBdr>
          <w:top w:val="nil"/>
          <w:left w:val="nil"/>
          <w:bottom w:val="nil"/>
          <w:right w:val="nil"/>
          <w:between w:val="nil"/>
        </w:pBdr>
        <w:spacing w:line="256" w:lineRule="auto"/>
        <w:rPr>
          <w:b/>
          <w:bCs/>
          <w:color w:val="000000"/>
          <w:sz w:val="20"/>
          <w:szCs w:val="20"/>
        </w:rPr>
      </w:pPr>
    </w:p>
    <w:p w14:paraId="24EFDD50" w14:textId="77777777" w:rsidR="00D81755" w:rsidRDefault="0073296A">
      <w:pPr>
        <w:pBdr>
          <w:top w:val="nil"/>
          <w:left w:val="nil"/>
          <w:bottom w:val="nil"/>
          <w:right w:val="nil"/>
          <w:between w:val="nil"/>
        </w:pBdr>
        <w:spacing w:line="256" w:lineRule="auto"/>
        <w:rPr>
          <w:color w:val="000000"/>
          <w:sz w:val="20"/>
          <w:szCs w:val="20"/>
        </w:rPr>
      </w:pPr>
      <w:r>
        <w:rPr>
          <w:b/>
          <w:bCs/>
          <w:color w:val="000000"/>
          <w:sz w:val="20"/>
          <w:szCs w:val="20"/>
        </w:rPr>
        <w:t>Howard Schneider, MS </w:t>
      </w:r>
      <w:r>
        <w:rPr>
          <w:color w:val="000000"/>
          <w:sz w:val="20"/>
          <w:szCs w:val="20"/>
        </w:rPr>
        <w:t>– Professor, School of Journalism; Founding Dean and Executive Director, Center for News Literacy, Stony Brook University</w:t>
      </w:r>
    </w:p>
    <w:p w14:paraId="24EFDD51" w14:textId="77777777" w:rsidR="00D81755" w:rsidRDefault="00D81755">
      <w:pPr>
        <w:pBdr>
          <w:top w:val="nil"/>
          <w:left w:val="nil"/>
          <w:bottom w:val="nil"/>
          <w:right w:val="nil"/>
          <w:between w:val="nil"/>
        </w:pBdr>
        <w:spacing w:line="256" w:lineRule="auto"/>
        <w:rPr>
          <w:b/>
          <w:bCs/>
          <w:color w:val="000000"/>
          <w:sz w:val="20"/>
          <w:szCs w:val="20"/>
        </w:rPr>
      </w:pPr>
    </w:p>
    <w:p w14:paraId="24EFDD52" w14:textId="77777777" w:rsidR="00D81755" w:rsidRDefault="0073296A">
      <w:pPr>
        <w:pBdr>
          <w:top w:val="nil"/>
          <w:left w:val="nil"/>
          <w:bottom w:val="nil"/>
          <w:right w:val="nil"/>
          <w:between w:val="nil"/>
        </w:pBdr>
        <w:spacing w:line="256" w:lineRule="auto"/>
        <w:rPr>
          <w:color w:val="000000"/>
          <w:sz w:val="20"/>
          <w:szCs w:val="20"/>
        </w:rPr>
      </w:pPr>
      <w:r>
        <w:rPr>
          <w:b/>
          <w:bCs/>
          <w:color w:val="000000"/>
          <w:sz w:val="20"/>
          <w:szCs w:val="20"/>
        </w:rPr>
        <w:t>Elinor R. Schoenfeld, PhD, MS</w:t>
      </w:r>
      <w:r>
        <w:rPr>
          <w:color w:val="000000"/>
          <w:sz w:val="20"/>
          <w:szCs w:val="20"/>
        </w:rPr>
        <w:t xml:space="preserve"> – Research Professor, Department of Family, Population &amp; Preventive Medicine </w:t>
      </w:r>
    </w:p>
    <w:p w14:paraId="24EFDD53" w14:textId="77777777" w:rsidR="00D81755" w:rsidRDefault="00D81755">
      <w:pPr>
        <w:pBdr>
          <w:top w:val="nil"/>
          <w:left w:val="nil"/>
          <w:bottom w:val="nil"/>
          <w:right w:val="nil"/>
          <w:between w:val="nil"/>
        </w:pBdr>
        <w:spacing w:line="256" w:lineRule="auto"/>
        <w:rPr>
          <w:b/>
          <w:bCs/>
          <w:color w:val="000000"/>
          <w:sz w:val="20"/>
          <w:szCs w:val="20"/>
        </w:rPr>
      </w:pPr>
    </w:p>
    <w:p w14:paraId="24EFDD54" w14:textId="77777777" w:rsidR="00D81755" w:rsidRDefault="0073296A">
      <w:pPr>
        <w:pBdr>
          <w:top w:val="nil"/>
          <w:left w:val="nil"/>
          <w:bottom w:val="nil"/>
          <w:right w:val="nil"/>
          <w:between w:val="nil"/>
        </w:pBdr>
        <w:spacing w:line="256" w:lineRule="auto"/>
        <w:rPr>
          <w:color w:val="000000"/>
          <w:sz w:val="20"/>
          <w:szCs w:val="20"/>
        </w:rPr>
      </w:pPr>
      <w:r>
        <w:rPr>
          <w:b/>
          <w:bCs/>
          <w:color w:val="000000"/>
          <w:sz w:val="20"/>
          <w:szCs w:val="20"/>
        </w:rPr>
        <w:t>Mark J. Sedler, MD, MPH </w:t>
      </w:r>
      <w:r>
        <w:rPr>
          <w:color w:val="000000"/>
          <w:sz w:val="20"/>
          <w:szCs w:val="20"/>
        </w:rPr>
        <w:t>– Professor, Department of Psychiatry and Behavioral Health; Associate Dean, Global Medical Education; Director, Alzheimer’s Disease Assistance Center of Long Island</w:t>
      </w:r>
    </w:p>
    <w:p w14:paraId="24EFDD55" w14:textId="77777777" w:rsidR="00D81755" w:rsidRDefault="00D81755">
      <w:pPr>
        <w:pBdr>
          <w:top w:val="nil"/>
          <w:left w:val="nil"/>
          <w:bottom w:val="nil"/>
          <w:right w:val="nil"/>
          <w:between w:val="nil"/>
        </w:pBdr>
        <w:spacing w:line="256" w:lineRule="auto"/>
        <w:rPr>
          <w:color w:val="000000"/>
          <w:sz w:val="20"/>
          <w:szCs w:val="20"/>
        </w:rPr>
      </w:pPr>
    </w:p>
    <w:p w14:paraId="24EFDD56" w14:textId="77777777" w:rsidR="00D81755" w:rsidRDefault="0073296A">
      <w:pPr>
        <w:pBdr>
          <w:top w:val="nil"/>
          <w:left w:val="nil"/>
          <w:bottom w:val="nil"/>
          <w:right w:val="nil"/>
          <w:between w:val="nil"/>
        </w:pBdr>
        <w:spacing w:line="256" w:lineRule="auto"/>
        <w:rPr>
          <w:color w:val="000000"/>
          <w:sz w:val="20"/>
          <w:szCs w:val="20"/>
        </w:rPr>
      </w:pPr>
      <w:r>
        <w:rPr>
          <w:b/>
          <w:bCs/>
          <w:color w:val="000000"/>
          <w:sz w:val="20"/>
          <w:szCs w:val="20"/>
        </w:rPr>
        <w:t xml:space="preserve">Hal Skopicki, MD, PhD </w:t>
      </w:r>
      <w:r>
        <w:rPr>
          <w:color w:val="000000"/>
          <w:sz w:val="20"/>
          <w:szCs w:val="20"/>
        </w:rPr>
        <w:t>– Chief of Cardiology in the Department of Medicine and Deputy Director of Operations, Stony Brook Heart Institute</w:t>
      </w:r>
    </w:p>
    <w:p w14:paraId="24EFDD57" w14:textId="77777777" w:rsidR="00D81755" w:rsidRDefault="00D81755">
      <w:pPr>
        <w:pBdr>
          <w:top w:val="nil"/>
          <w:left w:val="nil"/>
          <w:bottom w:val="nil"/>
          <w:right w:val="nil"/>
          <w:between w:val="nil"/>
        </w:pBdr>
        <w:spacing w:line="256" w:lineRule="auto"/>
        <w:rPr>
          <w:b/>
          <w:bCs/>
          <w:color w:val="000000"/>
          <w:sz w:val="20"/>
          <w:szCs w:val="20"/>
        </w:rPr>
      </w:pPr>
    </w:p>
    <w:p w14:paraId="24EFDD58" w14:textId="77777777" w:rsidR="00D81755" w:rsidRDefault="0073296A">
      <w:pPr>
        <w:pBdr>
          <w:top w:val="nil"/>
          <w:left w:val="nil"/>
          <w:bottom w:val="nil"/>
          <w:right w:val="nil"/>
          <w:between w:val="nil"/>
        </w:pBdr>
        <w:spacing w:line="256" w:lineRule="auto"/>
        <w:rPr>
          <w:color w:val="000000"/>
          <w:sz w:val="20"/>
          <w:szCs w:val="20"/>
        </w:rPr>
      </w:pPr>
      <w:r>
        <w:rPr>
          <w:b/>
          <w:bCs/>
          <w:color w:val="000000"/>
          <w:sz w:val="20"/>
          <w:szCs w:val="20"/>
        </w:rPr>
        <w:t xml:space="preserve">Christopher Sellers, PhD, MD </w:t>
      </w:r>
      <w:r>
        <w:rPr>
          <w:color w:val="000000"/>
          <w:sz w:val="20"/>
          <w:szCs w:val="20"/>
        </w:rPr>
        <w:t>–</w:t>
      </w:r>
      <w:r>
        <w:rPr>
          <w:color w:val="FF0000"/>
          <w:sz w:val="20"/>
          <w:szCs w:val="20"/>
        </w:rPr>
        <w:t xml:space="preserve"> </w:t>
      </w:r>
      <w:r>
        <w:rPr>
          <w:color w:val="000000"/>
          <w:sz w:val="20"/>
          <w:szCs w:val="20"/>
        </w:rPr>
        <w:t>Professor, Department of History; Director, Center for the Study of Inequality and Social Justice, Stony Brook University</w:t>
      </w:r>
    </w:p>
    <w:p w14:paraId="24EFDD59" w14:textId="77777777" w:rsidR="00D81755" w:rsidRDefault="00D81755">
      <w:pPr>
        <w:pBdr>
          <w:top w:val="nil"/>
          <w:left w:val="nil"/>
          <w:bottom w:val="nil"/>
          <w:right w:val="nil"/>
          <w:between w:val="nil"/>
        </w:pBdr>
        <w:spacing w:line="256" w:lineRule="auto"/>
        <w:rPr>
          <w:b/>
          <w:bCs/>
          <w:color w:val="000000"/>
          <w:sz w:val="20"/>
          <w:szCs w:val="20"/>
        </w:rPr>
      </w:pPr>
    </w:p>
    <w:p w14:paraId="24EFDD5A" w14:textId="77777777" w:rsidR="00D81755" w:rsidRDefault="0073296A">
      <w:pPr>
        <w:pBdr>
          <w:top w:val="nil"/>
          <w:left w:val="nil"/>
          <w:bottom w:val="nil"/>
          <w:right w:val="nil"/>
          <w:between w:val="nil"/>
        </w:pBdr>
        <w:spacing w:line="256" w:lineRule="auto"/>
        <w:rPr>
          <w:color w:val="000000"/>
          <w:sz w:val="20"/>
          <w:szCs w:val="20"/>
        </w:rPr>
      </w:pPr>
      <w:r>
        <w:rPr>
          <w:b/>
          <w:bCs/>
          <w:color w:val="000000"/>
          <w:sz w:val="20"/>
          <w:szCs w:val="20"/>
        </w:rPr>
        <w:t xml:space="preserve">Fred Sganga, MPH, FACHE, LNHA </w:t>
      </w:r>
      <w:r>
        <w:rPr>
          <w:color w:val="000000"/>
          <w:sz w:val="20"/>
          <w:szCs w:val="20"/>
        </w:rPr>
        <w:t>– Lecturer, School of Health Technology and Management; Executive Director, Long Island State Veterans Home</w:t>
      </w:r>
    </w:p>
    <w:p w14:paraId="24EFDD5B" w14:textId="77777777" w:rsidR="00D81755" w:rsidRDefault="00D81755">
      <w:pPr>
        <w:pBdr>
          <w:top w:val="nil"/>
          <w:left w:val="nil"/>
          <w:bottom w:val="nil"/>
          <w:right w:val="nil"/>
          <w:between w:val="nil"/>
        </w:pBdr>
        <w:spacing w:line="256" w:lineRule="auto"/>
        <w:rPr>
          <w:b/>
          <w:bCs/>
          <w:color w:val="000000"/>
          <w:sz w:val="20"/>
          <w:szCs w:val="20"/>
        </w:rPr>
      </w:pPr>
    </w:p>
    <w:p w14:paraId="24EFDD5C" w14:textId="77777777" w:rsidR="00D81755" w:rsidRDefault="0073296A">
      <w:pPr>
        <w:pBdr>
          <w:top w:val="nil"/>
          <w:left w:val="nil"/>
          <w:bottom w:val="nil"/>
          <w:right w:val="nil"/>
          <w:between w:val="nil"/>
        </w:pBdr>
        <w:spacing w:line="256" w:lineRule="auto"/>
        <w:rPr>
          <w:b/>
          <w:bCs/>
          <w:color w:val="000000"/>
          <w:sz w:val="20"/>
          <w:szCs w:val="20"/>
        </w:rPr>
      </w:pPr>
      <w:r>
        <w:rPr>
          <w:b/>
          <w:bCs/>
          <w:color w:val="000000"/>
          <w:sz w:val="20"/>
          <w:szCs w:val="20"/>
        </w:rPr>
        <w:t>Carrie Shandra, Ph.D. </w:t>
      </w:r>
      <w:r>
        <w:rPr>
          <w:color w:val="000000"/>
          <w:sz w:val="20"/>
          <w:szCs w:val="20"/>
        </w:rPr>
        <w:t>– Associate Professor, Department of Sociology, Stony Brook University</w:t>
      </w:r>
    </w:p>
    <w:p w14:paraId="24EFDD5D" w14:textId="77777777" w:rsidR="00D81755" w:rsidRDefault="00D81755">
      <w:pPr>
        <w:pBdr>
          <w:top w:val="nil"/>
          <w:left w:val="nil"/>
          <w:bottom w:val="nil"/>
          <w:right w:val="nil"/>
          <w:between w:val="nil"/>
        </w:pBdr>
        <w:spacing w:line="256" w:lineRule="auto"/>
        <w:rPr>
          <w:b/>
          <w:bCs/>
          <w:color w:val="000000"/>
          <w:sz w:val="20"/>
          <w:szCs w:val="20"/>
        </w:rPr>
      </w:pPr>
    </w:p>
    <w:p w14:paraId="24EFDD5E" w14:textId="77777777" w:rsidR="00D81755" w:rsidRDefault="0073296A">
      <w:pPr>
        <w:pBdr>
          <w:top w:val="nil"/>
          <w:left w:val="nil"/>
          <w:bottom w:val="nil"/>
          <w:right w:val="nil"/>
          <w:between w:val="nil"/>
        </w:pBdr>
        <w:spacing w:line="256" w:lineRule="auto"/>
        <w:rPr>
          <w:color w:val="000000"/>
          <w:sz w:val="20"/>
          <w:szCs w:val="20"/>
        </w:rPr>
      </w:pPr>
      <w:r>
        <w:rPr>
          <w:b/>
          <w:bCs/>
          <w:color w:val="000000"/>
          <w:sz w:val="20"/>
          <w:szCs w:val="20"/>
        </w:rPr>
        <w:t>Kenneth R. Shroyer, MD, PhD –</w:t>
      </w:r>
      <w:r>
        <w:rPr>
          <w:color w:val="FF0000"/>
          <w:sz w:val="20"/>
          <w:szCs w:val="20"/>
        </w:rPr>
        <w:t xml:space="preserve"> </w:t>
      </w:r>
      <w:r>
        <w:rPr>
          <w:color w:val="000000"/>
          <w:sz w:val="20"/>
          <w:szCs w:val="20"/>
        </w:rPr>
        <w:t>The Marvin Kuschner Professor and Chair, Department of Pathology, Stony Brook Medicine; President, Stony Brook Pathologists, UFPC, Vice Chair, SB Clinical Practice Management Plan, Inc.</w:t>
      </w:r>
    </w:p>
    <w:p w14:paraId="24EFDD5F" w14:textId="77777777" w:rsidR="00D81755" w:rsidRDefault="00D81755">
      <w:pPr>
        <w:pBdr>
          <w:top w:val="nil"/>
          <w:left w:val="nil"/>
          <w:bottom w:val="nil"/>
          <w:right w:val="nil"/>
          <w:between w:val="nil"/>
        </w:pBdr>
        <w:spacing w:line="256" w:lineRule="auto"/>
        <w:rPr>
          <w:b/>
          <w:bCs/>
          <w:color w:val="000000"/>
          <w:sz w:val="20"/>
          <w:szCs w:val="20"/>
        </w:rPr>
      </w:pPr>
    </w:p>
    <w:p w14:paraId="24EFDD60" w14:textId="77777777" w:rsidR="00D81755" w:rsidRDefault="0073296A">
      <w:pPr>
        <w:pBdr>
          <w:top w:val="nil"/>
          <w:left w:val="nil"/>
          <w:bottom w:val="nil"/>
          <w:right w:val="nil"/>
          <w:between w:val="nil"/>
        </w:pBdr>
        <w:spacing w:line="256" w:lineRule="auto"/>
        <w:rPr>
          <w:color w:val="000000"/>
          <w:sz w:val="20"/>
          <w:szCs w:val="20"/>
        </w:rPr>
      </w:pPr>
      <w:r>
        <w:rPr>
          <w:b/>
          <w:bCs/>
          <w:color w:val="000000"/>
          <w:sz w:val="20"/>
          <w:szCs w:val="20"/>
        </w:rPr>
        <w:t>Henry Thode, PhD</w:t>
      </w:r>
      <w:r>
        <w:rPr>
          <w:color w:val="000000"/>
          <w:sz w:val="20"/>
          <w:szCs w:val="20"/>
        </w:rPr>
        <w:t xml:space="preserve"> – Research Professor of Emergency Medicine, Department of Emergency Medicine, Stony Brook Medicine</w:t>
      </w:r>
    </w:p>
    <w:p w14:paraId="24EFDD61" w14:textId="77777777" w:rsidR="00D81755" w:rsidRDefault="00D81755">
      <w:pPr>
        <w:pBdr>
          <w:top w:val="nil"/>
          <w:left w:val="nil"/>
          <w:bottom w:val="nil"/>
          <w:right w:val="nil"/>
          <w:between w:val="nil"/>
        </w:pBdr>
        <w:spacing w:line="256" w:lineRule="auto"/>
        <w:rPr>
          <w:b/>
          <w:bCs/>
          <w:color w:val="000000"/>
          <w:sz w:val="20"/>
          <w:szCs w:val="20"/>
        </w:rPr>
      </w:pPr>
    </w:p>
    <w:p w14:paraId="24EFDD62" w14:textId="77777777" w:rsidR="00D81755" w:rsidRDefault="0073296A">
      <w:pPr>
        <w:pBdr>
          <w:top w:val="nil"/>
          <w:left w:val="nil"/>
          <w:bottom w:val="nil"/>
          <w:right w:val="nil"/>
          <w:between w:val="nil"/>
        </w:pBdr>
        <w:spacing w:line="256" w:lineRule="auto"/>
        <w:rPr>
          <w:color w:val="000000"/>
          <w:sz w:val="20"/>
          <w:szCs w:val="20"/>
        </w:rPr>
      </w:pPr>
      <w:r>
        <w:rPr>
          <w:b/>
          <w:bCs/>
          <w:color w:val="000000"/>
          <w:sz w:val="20"/>
          <w:szCs w:val="20"/>
        </w:rPr>
        <w:t xml:space="preserve">Nancy J. Tomes, PhD </w:t>
      </w:r>
      <w:r>
        <w:rPr>
          <w:color w:val="000000"/>
          <w:sz w:val="20"/>
          <w:szCs w:val="20"/>
        </w:rPr>
        <w:t>–</w:t>
      </w:r>
      <w:r>
        <w:rPr>
          <w:color w:val="FF0000"/>
          <w:sz w:val="20"/>
          <w:szCs w:val="20"/>
        </w:rPr>
        <w:t xml:space="preserve"> </w:t>
      </w:r>
      <w:r>
        <w:rPr>
          <w:color w:val="000000"/>
          <w:sz w:val="20"/>
          <w:szCs w:val="20"/>
        </w:rPr>
        <w:t>Distinguished Professor, Department of History; President, University Senate, Stony Brook University</w:t>
      </w:r>
    </w:p>
    <w:p w14:paraId="24EFDD63" w14:textId="77777777" w:rsidR="00D81755" w:rsidRDefault="00D81755">
      <w:pPr>
        <w:pBdr>
          <w:top w:val="nil"/>
          <w:left w:val="nil"/>
          <w:bottom w:val="nil"/>
          <w:right w:val="nil"/>
          <w:between w:val="nil"/>
        </w:pBdr>
        <w:spacing w:line="256" w:lineRule="auto"/>
        <w:rPr>
          <w:b/>
          <w:bCs/>
          <w:color w:val="000000"/>
          <w:sz w:val="20"/>
          <w:szCs w:val="20"/>
        </w:rPr>
      </w:pPr>
    </w:p>
    <w:p w14:paraId="24EFDD64" w14:textId="77777777" w:rsidR="00D81755" w:rsidRDefault="0073296A">
      <w:pPr>
        <w:pBdr>
          <w:top w:val="nil"/>
          <w:left w:val="nil"/>
          <w:bottom w:val="nil"/>
          <w:right w:val="nil"/>
          <w:between w:val="nil"/>
        </w:pBdr>
        <w:spacing w:line="256" w:lineRule="auto"/>
        <w:rPr>
          <w:color w:val="000000"/>
          <w:sz w:val="20"/>
          <w:szCs w:val="20"/>
        </w:rPr>
      </w:pPr>
      <w:r>
        <w:rPr>
          <w:b/>
          <w:bCs/>
          <w:color w:val="000000"/>
          <w:sz w:val="20"/>
          <w:szCs w:val="20"/>
        </w:rPr>
        <w:t xml:space="preserve">Leah Topek-Walker, LCSW </w:t>
      </w:r>
      <w:r>
        <w:rPr>
          <w:color w:val="000000"/>
          <w:sz w:val="20"/>
          <w:szCs w:val="20"/>
        </w:rPr>
        <w:t>– Field Education Coordinator, School of Social Welfare, Stony Brook University</w:t>
      </w:r>
    </w:p>
    <w:p w14:paraId="24EFDD65" w14:textId="77777777" w:rsidR="00D81755" w:rsidRDefault="00D81755">
      <w:pPr>
        <w:pBdr>
          <w:top w:val="nil"/>
          <w:left w:val="nil"/>
          <w:bottom w:val="nil"/>
          <w:right w:val="nil"/>
          <w:between w:val="nil"/>
        </w:pBdr>
        <w:spacing w:line="256" w:lineRule="auto"/>
        <w:rPr>
          <w:b/>
          <w:bCs/>
          <w:color w:val="000000"/>
          <w:sz w:val="20"/>
          <w:szCs w:val="20"/>
        </w:rPr>
      </w:pPr>
    </w:p>
    <w:p w14:paraId="24EFDD66" w14:textId="77777777" w:rsidR="00D81755" w:rsidRDefault="0073296A">
      <w:pPr>
        <w:pBdr>
          <w:top w:val="nil"/>
          <w:left w:val="nil"/>
          <w:bottom w:val="nil"/>
          <w:right w:val="nil"/>
          <w:between w:val="nil"/>
        </w:pBdr>
        <w:spacing w:line="256" w:lineRule="auto"/>
        <w:rPr>
          <w:color w:val="000000"/>
          <w:sz w:val="20"/>
          <w:szCs w:val="20"/>
        </w:rPr>
      </w:pPr>
      <w:r>
        <w:rPr>
          <w:b/>
          <w:bCs/>
          <w:color w:val="000000"/>
          <w:sz w:val="20"/>
          <w:szCs w:val="20"/>
        </w:rPr>
        <w:t>Marie Ciacco Tsivitis, MPH</w:t>
      </w:r>
      <w:r>
        <w:rPr>
          <w:color w:val="000000"/>
          <w:sz w:val="20"/>
          <w:szCs w:val="20"/>
        </w:rPr>
        <w:t xml:space="preserve"> - Research Scientist/ Regional Representative, Bureau of Health Care Associated Infections</w:t>
      </w:r>
    </w:p>
    <w:p w14:paraId="24EFDD67" w14:textId="77777777" w:rsidR="00D81755" w:rsidRDefault="00D81755">
      <w:pPr>
        <w:pBdr>
          <w:top w:val="nil"/>
          <w:left w:val="nil"/>
          <w:bottom w:val="nil"/>
          <w:right w:val="nil"/>
          <w:between w:val="nil"/>
        </w:pBdr>
        <w:spacing w:line="256" w:lineRule="auto"/>
        <w:rPr>
          <w:color w:val="000000"/>
          <w:sz w:val="20"/>
          <w:szCs w:val="20"/>
        </w:rPr>
      </w:pPr>
    </w:p>
    <w:p w14:paraId="24EFDD68" w14:textId="77777777" w:rsidR="00D81755" w:rsidRDefault="0073296A">
      <w:pPr>
        <w:pBdr>
          <w:top w:val="nil"/>
          <w:left w:val="nil"/>
          <w:bottom w:val="nil"/>
          <w:right w:val="nil"/>
          <w:between w:val="nil"/>
        </w:pBdr>
        <w:spacing w:line="256" w:lineRule="auto"/>
        <w:rPr>
          <w:color w:val="000000"/>
          <w:sz w:val="20"/>
          <w:szCs w:val="20"/>
        </w:rPr>
      </w:pPr>
      <w:r>
        <w:rPr>
          <w:b/>
          <w:bCs/>
          <w:color w:val="000000"/>
          <w:sz w:val="20"/>
          <w:szCs w:val="20"/>
        </w:rPr>
        <w:t>Ryan Vander Wielen, PhD</w:t>
      </w:r>
      <w:r>
        <w:rPr>
          <w:color w:val="000000"/>
          <w:sz w:val="20"/>
          <w:szCs w:val="20"/>
        </w:rPr>
        <w:t xml:space="preserve"> –Professor, Political Science Department; Director of Master of Arts in Public Policy </w:t>
      </w:r>
    </w:p>
    <w:p w14:paraId="24EFDD69" w14:textId="77777777" w:rsidR="00D81755" w:rsidRDefault="00D81755">
      <w:pPr>
        <w:pBdr>
          <w:top w:val="nil"/>
          <w:left w:val="nil"/>
          <w:bottom w:val="nil"/>
          <w:right w:val="nil"/>
          <w:between w:val="nil"/>
        </w:pBdr>
        <w:spacing w:line="256" w:lineRule="auto"/>
        <w:rPr>
          <w:b/>
          <w:bCs/>
          <w:color w:val="000000"/>
          <w:sz w:val="20"/>
          <w:szCs w:val="20"/>
        </w:rPr>
      </w:pPr>
    </w:p>
    <w:p w14:paraId="24EFDD6A" w14:textId="77777777" w:rsidR="00D81755" w:rsidRDefault="0073296A">
      <w:pPr>
        <w:pBdr>
          <w:top w:val="nil"/>
          <w:left w:val="nil"/>
          <w:bottom w:val="nil"/>
          <w:right w:val="nil"/>
          <w:between w:val="nil"/>
        </w:pBdr>
        <w:spacing w:line="256" w:lineRule="auto"/>
        <w:rPr>
          <w:color w:val="000000"/>
          <w:sz w:val="20"/>
          <w:szCs w:val="20"/>
        </w:rPr>
      </w:pPr>
      <w:r>
        <w:rPr>
          <w:b/>
          <w:bCs/>
          <w:color w:val="000000"/>
          <w:sz w:val="20"/>
          <w:szCs w:val="20"/>
        </w:rPr>
        <w:t>J</w:t>
      </w:r>
      <w:r>
        <w:rPr>
          <w:b/>
          <w:bCs/>
          <w:sz w:val="20"/>
          <w:szCs w:val="20"/>
        </w:rPr>
        <w:t>ason</w:t>
      </w:r>
      <w:r>
        <w:rPr>
          <w:b/>
          <w:bCs/>
          <w:color w:val="000000"/>
          <w:sz w:val="20"/>
          <w:szCs w:val="20"/>
        </w:rPr>
        <w:t xml:space="preserve"> Winslow, MD, MPH</w:t>
      </w:r>
      <w:r>
        <w:rPr>
          <w:color w:val="000000"/>
          <w:sz w:val="20"/>
          <w:szCs w:val="20"/>
        </w:rPr>
        <w:t xml:space="preserve"> – Medical Director, North Carolina Office of EMS; Associate Professor and Attending Emergency Medicine Physician, Wake Forest University Baptist Medical Center</w:t>
      </w:r>
    </w:p>
    <w:p w14:paraId="24EFDD6B" w14:textId="77777777" w:rsidR="00D81755" w:rsidRDefault="00D81755">
      <w:pPr>
        <w:pBdr>
          <w:top w:val="nil"/>
          <w:left w:val="nil"/>
          <w:bottom w:val="nil"/>
          <w:right w:val="nil"/>
          <w:between w:val="nil"/>
        </w:pBdr>
        <w:spacing w:line="256" w:lineRule="auto"/>
        <w:rPr>
          <w:b/>
          <w:bCs/>
          <w:color w:val="000000"/>
          <w:sz w:val="20"/>
          <w:szCs w:val="20"/>
        </w:rPr>
      </w:pPr>
    </w:p>
    <w:p w14:paraId="24EFDD6C" w14:textId="77777777" w:rsidR="00D81755" w:rsidRDefault="0073296A">
      <w:pPr>
        <w:pBdr>
          <w:top w:val="nil"/>
          <w:left w:val="nil"/>
          <w:bottom w:val="nil"/>
          <w:right w:val="nil"/>
          <w:between w:val="nil"/>
        </w:pBdr>
        <w:spacing w:after="160" w:line="256" w:lineRule="auto"/>
        <w:rPr>
          <w:color w:val="000000"/>
          <w:sz w:val="20"/>
          <w:szCs w:val="20"/>
        </w:rPr>
      </w:pPr>
      <w:r>
        <w:rPr>
          <w:b/>
          <w:bCs/>
          <w:color w:val="000000"/>
          <w:sz w:val="20"/>
          <w:szCs w:val="20"/>
        </w:rPr>
        <w:lastRenderedPageBreak/>
        <w:t xml:space="preserve">Jie Yang, PhD </w:t>
      </w:r>
      <w:r>
        <w:rPr>
          <w:color w:val="000000"/>
          <w:sz w:val="20"/>
          <w:szCs w:val="20"/>
        </w:rPr>
        <w:t>– Assistant Professor, Department of Family, Population &amp; Preventive Medicine; Director, Renaissance School of Medicine at Stony Brook University Biostatistical Consulting Core</w:t>
      </w:r>
      <w:r>
        <w:rPr>
          <w:color w:val="000000"/>
          <w:sz w:val="20"/>
          <w:szCs w:val="20"/>
        </w:rPr>
        <w:br/>
      </w:r>
    </w:p>
    <w:p w14:paraId="24EFDD6E" w14:textId="159DA61B" w:rsidR="00D81755" w:rsidRDefault="0073296A" w:rsidP="00E563CC">
      <w:pPr>
        <w:rPr>
          <w:b/>
          <w:bCs/>
        </w:rPr>
      </w:pPr>
      <w:r>
        <w:rPr>
          <w:b/>
          <w:bCs/>
        </w:rPr>
        <w:t>ABOUT THE PROGRAM</w:t>
      </w:r>
    </w:p>
    <w:p w14:paraId="24EFDD6F" w14:textId="77777777" w:rsidR="00D81755" w:rsidRDefault="0073296A">
      <w:pPr>
        <w:jc w:val="both"/>
        <w:rPr>
          <w:color w:val="000000"/>
          <w:sz w:val="20"/>
          <w:szCs w:val="20"/>
        </w:rPr>
      </w:pPr>
      <w:r>
        <w:rPr>
          <w:sz w:val="20"/>
          <w:szCs w:val="20"/>
        </w:rPr>
        <w:t>The PPH</w:t>
      </w:r>
      <w:r>
        <w:rPr>
          <w:color w:val="000000"/>
          <w:sz w:val="20"/>
          <w:szCs w:val="20"/>
        </w:rPr>
        <w:t xml:space="preserve"> was established at Stony Brook to train people who wish to integrate the knowledge, skills, vision, and values of public health into their careers and provide leadership in the field. The Program offers the Master of Public Health (MPH) degree, the Master of Health Administration (MHA) degree, the MS in Epidemiology and Clinical Research, the PhD with a focus on either Population Health or Clinical Outcomes Research degree, and there also are a number of combined and concurrent programs available, as well as an Advanced Graduate Certificate.</w:t>
      </w:r>
    </w:p>
    <w:p w14:paraId="24EFDD70" w14:textId="77777777" w:rsidR="00D81755" w:rsidRDefault="00D81755">
      <w:pPr>
        <w:jc w:val="both"/>
        <w:rPr>
          <w:color w:val="000000"/>
          <w:sz w:val="20"/>
          <w:szCs w:val="20"/>
        </w:rPr>
      </w:pPr>
    </w:p>
    <w:p w14:paraId="24EFDD71" w14:textId="77777777" w:rsidR="00D81755" w:rsidRDefault="0073296A">
      <w:pPr>
        <w:jc w:val="both"/>
        <w:rPr>
          <w:color w:val="000000"/>
          <w:sz w:val="20"/>
          <w:szCs w:val="20"/>
        </w:rPr>
      </w:pPr>
      <w:r>
        <w:rPr>
          <w:color w:val="000000"/>
          <w:sz w:val="20"/>
          <w:szCs w:val="20"/>
        </w:rPr>
        <w:t>The Program advocates a population health approach to public health. The hallmarks of population health include an ecological understanding of the determinants of health and a systems approach to solving health problems; emphasis on proactively stabilizing and improving health among all populations; and insistence on accountability, evidence-based practice, and continuous performance improvement. The population health approach requires multi-disciplinary collaboration among scholars in the social, behavioral, clinical, and basic sciences and humanities. Furthermore, it incorporates the development of comprehensive health information systems, and the use of advanced analytical tools to examine health problems and evaluate solutions.</w:t>
      </w:r>
    </w:p>
    <w:p w14:paraId="24EFDD72" w14:textId="77777777" w:rsidR="00D81755" w:rsidRDefault="00D81755">
      <w:pPr>
        <w:jc w:val="both"/>
        <w:rPr>
          <w:color w:val="000000"/>
          <w:sz w:val="20"/>
          <w:szCs w:val="20"/>
        </w:rPr>
      </w:pPr>
    </w:p>
    <w:p w14:paraId="24EFDD73" w14:textId="77777777" w:rsidR="00D81755" w:rsidRDefault="0073296A">
      <w:pPr>
        <w:jc w:val="both"/>
        <w:rPr>
          <w:color w:val="000000"/>
          <w:sz w:val="20"/>
          <w:szCs w:val="20"/>
        </w:rPr>
      </w:pPr>
      <w:r>
        <w:rPr>
          <w:color w:val="000000"/>
          <w:sz w:val="20"/>
          <w:szCs w:val="20"/>
        </w:rPr>
        <w:t xml:space="preserve">The population health orientation is consistent with the traditions of public health and with the Institute of Medicine (IOM) recommendations for public health education, although it expands upon them. </w:t>
      </w:r>
      <w:proofErr w:type="gramStart"/>
      <w:r>
        <w:rPr>
          <w:color w:val="000000"/>
          <w:sz w:val="20"/>
          <w:szCs w:val="20"/>
        </w:rPr>
        <w:t>The IOM</w:t>
      </w:r>
      <w:proofErr w:type="gramEnd"/>
      <w:r>
        <w:rPr>
          <w:color w:val="000000"/>
          <w:sz w:val="20"/>
          <w:szCs w:val="20"/>
        </w:rPr>
        <w:t xml:space="preserve"> (2002) recommends these areas of action for those who work in public health:</w:t>
      </w:r>
    </w:p>
    <w:p w14:paraId="24EFDD74" w14:textId="77777777" w:rsidR="00D81755" w:rsidRDefault="00D81755">
      <w:pPr>
        <w:jc w:val="both"/>
        <w:rPr>
          <w:i/>
          <w:iCs/>
          <w:color w:val="000000"/>
          <w:sz w:val="16"/>
          <w:szCs w:val="16"/>
        </w:rPr>
      </w:pPr>
    </w:p>
    <w:p w14:paraId="24EFDD75" w14:textId="77777777" w:rsidR="00D81755" w:rsidRDefault="0073296A">
      <w:pPr>
        <w:jc w:val="both"/>
        <w:rPr>
          <w:color w:val="000000"/>
          <w:sz w:val="20"/>
          <w:szCs w:val="20"/>
        </w:rPr>
      </w:pPr>
      <w:r>
        <w:rPr>
          <w:i/>
          <w:iCs/>
          <w:color w:val="000000"/>
          <w:sz w:val="20"/>
          <w:szCs w:val="20"/>
        </w:rPr>
        <w:t>"Adopting a population health approach that considers the multiple determinants of health; Strengthening the governmental public health infrastructure; Building a new generation of intersectoral partnerships; Developing systems of accountability; Making evidence the foundation of decision making and the measure of success; Enhancing and facilitating communication within the public health system."</w:t>
      </w:r>
      <w:r>
        <w:rPr>
          <w:i/>
          <w:iCs/>
          <w:color w:val="000000"/>
          <w:sz w:val="20"/>
          <w:szCs w:val="20"/>
          <w:vertAlign w:val="superscript"/>
        </w:rPr>
        <w:footnoteReference w:id="1"/>
      </w:r>
      <w:r>
        <w:rPr>
          <w:color w:val="000000"/>
          <w:sz w:val="20"/>
          <w:szCs w:val="20"/>
        </w:rPr>
        <w:t xml:space="preserve"> </w:t>
      </w:r>
    </w:p>
    <w:p w14:paraId="24EFDD76" w14:textId="77777777" w:rsidR="00D81755" w:rsidRDefault="00D81755">
      <w:pPr>
        <w:jc w:val="both"/>
        <w:rPr>
          <w:color w:val="000000"/>
          <w:sz w:val="16"/>
          <w:szCs w:val="16"/>
        </w:rPr>
      </w:pPr>
    </w:p>
    <w:p w14:paraId="24EFDD77" w14:textId="77777777" w:rsidR="00D81755" w:rsidRDefault="0073296A">
      <w:pPr>
        <w:jc w:val="both"/>
        <w:rPr>
          <w:sz w:val="20"/>
          <w:szCs w:val="20"/>
        </w:rPr>
      </w:pPr>
      <w:r>
        <w:rPr>
          <w:sz w:val="20"/>
          <w:szCs w:val="20"/>
        </w:rPr>
        <w:t xml:space="preserve">The population health orientation of the Program also is compatible with the educational philosophy of Stony Brook University which includes the five schools of the Health Sciences (Medicine, Nursing, Dental Medicine, Social Welfare, and School of Health Professions) and the Program in Public Health. The Health Sciences Center emphasizes the need for interdisciplinary education and </w:t>
      </w:r>
      <w:proofErr w:type="gramStart"/>
      <w:r>
        <w:rPr>
          <w:sz w:val="20"/>
          <w:szCs w:val="20"/>
        </w:rPr>
        <w:t>collaboration, and</w:t>
      </w:r>
      <w:proofErr w:type="gramEnd"/>
      <w:r>
        <w:rPr>
          <w:sz w:val="20"/>
          <w:szCs w:val="20"/>
        </w:rPr>
        <w:t xml:space="preserve"> recognizes the critical importance of training health professionals to work together.  The PPH values a collegial atmosphere at an early stage in a student’s education and fosters an environment of mutual respect among students who represent diverse backgrounds and competencies.  </w:t>
      </w:r>
    </w:p>
    <w:p w14:paraId="24EFDD78" w14:textId="77777777" w:rsidR="00D81755" w:rsidRDefault="00D81755">
      <w:pPr>
        <w:jc w:val="both"/>
        <w:rPr>
          <w:sz w:val="20"/>
          <w:szCs w:val="20"/>
        </w:rPr>
      </w:pPr>
    </w:p>
    <w:p w14:paraId="24EFDD79" w14:textId="77777777" w:rsidR="00D81755" w:rsidRDefault="0073296A">
      <w:pPr>
        <w:jc w:val="both"/>
        <w:rPr>
          <w:sz w:val="20"/>
          <w:szCs w:val="20"/>
        </w:rPr>
      </w:pPr>
      <w:r>
        <w:rPr>
          <w:sz w:val="20"/>
          <w:szCs w:val="20"/>
        </w:rPr>
        <w:t>The emphasis of the PPH reflects the changing environment in which public health practice occurs, and recent thinking about how to respond to these changes. Public health retains its distinct role as the specialty emphasizing prevention, with the object of its work being populations, in contrast to the historical role of medicine, dentistry, and other clinical disciplines that focus on healing, with the object of their work being individuals.</w:t>
      </w:r>
    </w:p>
    <w:p w14:paraId="24EFDD7A" w14:textId="77777777" w:rsidR="00D81755" w:rsidRDefault="00D81755">
      <w:pPr>
        <w:jc w:val="both"/>
        <w:rPr>
          <w:sz w:val="16"/>
          <w:szCs w:val="16"/>
        </w:rPr>
      </w:pPr>
    </w:p>
    <w:p w14:paraId="24EFDD7B" w14:textId="77777777" w:rsidR="00D81755" w:rsidRDefault="0073296A">
      <w:pPr>
        <w:widowControl w:val="0"/>
        <w:jc w:val="both"/>
        <w:rPr>
          <w:sz w:val="20"/>
          <w:szCs w:val="20"/>
        </w:rPr>
      </w:pPr>
      <w:r>
        <w:rPr>
          <w:sz w:val="20"/>
          <w:szCs w:val="20"/>
        </w:rPr>
        <w:t xml:space="preserve">Since the 1980s, the three main functions of public health </w:t>
      </w:r>
      <w:proofErr w:type="gramStart"/>
      <w:r>
        <w:rPr>
          <w:sz w:val="20"/>
          <w:szCs w:val="20"/>
        </w:rPr>
        <w:t>are</w:t>
      </w:r>
      <w:proofErr w:type="gramEnd"/>
      <w:r>
        <w:rPr>
          <w:sz w:val="20"/>
          <w:szCs w:val="20"/>
        </w:rPr>
        <w:t xml:space="preserve"> identified as assessment, policy development, and assurance. However, the knowledge and skills needed to perform these functions optimally has changed radically </w:t>
      </w:r>
      <w:proofErr w:type="gramStart"/>
      <w:r>
        <w:rPr>
          <w:sz w:val="20"/>
          <w:szCs w:val="20"/>
        </w:rPr>
        <w:t>in light of</w:t>
      </w:r>
      <w:proofErr w:type="gramEnd"/>
      <w:r>
        <w:rPr>
          <w:sz w:val="20"/>
          <w:szCs w:val="20"/>
        </w:rPr>
        <w:t xml:space="preserve"> advances in information technology and increased knowledge about the determinants of health and disease. These changes are occurring at all levels of inquiry - from the micro (genetics and microbiology) through the macro (the social and behavioral sciences). Changing political, economic, demographic, and social conditions make the application of new knowledge and technologies </w:t>
      </w:r>
      <w:proofErr w:type="gramStart"/>
      <w:r>
        <w:rPr>
          <w:sz w:val="20"/>
          <w:szCs w:val="20"/>
        </w:rPr>
        <w:t>all the more</w:t>
      </w:r>
      <w:proofErr w:type="gramEnd"/>
      <w:r>
        <w:rPr>
          <w:sz w:val="20"/>
          <w:szCs w:val="20"/>
        </w:rPr>
        <w:t xml:space="preserve"> important.</w:t>
      </w:r>
    </w:p>
    <w:p w14:paraId="24EFDD7C" w14:textId="77777777" w:rsidR="00D81755" w:rsidRDefault="0073296A">
      <w:pPr>
        <w:jc w:val="both"/>
        <w:rPr>
          <w:sz w:val="20"/>
          <w:szCs w:val="20"/>
        </w:rPr>
      </w:pPr>
      <w:bookmarkStart w:id="13" w:name="_heading=h.26in1rg" w:colFirst="0" w:colLast="0"/>
      <w:bookmarkEnd w:id="13"/>
      <w:r>
        <w:rPr>
          <w:sz w:val="20"/>
          <w:szCs w:val="20"/>
        </w:rPr>
        <w:t>As one Institute of Medicine (2002)</w:t>
      </w:r>
      <w:r>
        <w:rPr>
          <w:sz w:val="20"/>
          <w:szCs w:val="20"/>
          <w:vertAlign w:val="superscript"/>
        </w:rPr>
        <w:t>1</w:t>
      </w:r>
      <w:r>
        <w:rPr>
          <w:sz w:val="20"/>
          <w:szCs w:val="20"/>
        </w:rPr>
        <w:t xml:space="preserve"> report states, </w:t>
      </w:r>
    </w:p>
    <w:p w14:paraId="24EFDD7D" w14:textId="77777777" w:rsidR="00D81755" w:rsidRDefault="00D81755">
      <w:pPr>
        <w:jc w:val="both"/>
        <w:rPr>
          <w:sz w:val="20"/>
          <w:szCs w:val="20"/>
        </w:rPr>
      </w:pPr>
    </w:p>
    <w:p w14:paraId="24EFDD7E" w14:textId="77777777" w:rsidR="00D81755" w:rsidRDefault="0073296A">
      <w:pPr>
        <w:jc w:val="both"/>
        <w:rPr>
          <w:i/>
          <w:iCs/>
          <w:sz w:val="20"/>
          <w:szCs w:val="20"/>
        </w:rPr>
      </w:pPr>
      <w:r>
        <w:rPr>
          <w:i/>
          <w:iCs/>
          <w:sz w:val="20"/>
          <w:szCs w:val="20"/>
        </w:rPr>
        <w:t xml:space="preserve">"The beginning of the twenty first century provided an early preview of the health challenges the United States will confront in the coming decades. The systems and entities that protect and promote the public’s health, already challenged by problems like obesity, toxic environments, a large uninsured population and health disparities, must also confront emerging threats, such as antimicrobial resistance and </w:t>
      </w:r>
      <w:proofErr w:type="gramStart"/>
      <w:r>
        <w:rPr>
          <w:i/>
          <w:iCs/>
          <w:sz w:val="20"/>
          <w:szCs w:val="20"/>
        </w:rPr>
        <w:t>bio-terrorism</w:t>
      </w:r>
      <w:proofErr w:type="gramEnd"/>
      <w:r>
        <w:rPr>
          <w:i/>
          <w:iCs/>
          <w:sz w:val="20"/>
          <w:szCs w:val="20"/>
        </w:rPr>
        <w:t xml:space="preserve">. The social, cultural, and global contexts of the nation's health are also undergoing rapid and dramatic change. Scientific and technical advances, such as genomics and informatics, extend the limits of knowledge and human potential more rapidly than their implications can be absorbed and acted upon. At the same time, people, products, and germs migrate and the nation's demographics are shifting in ways that challenge public and private resources." </w:t>
      </w:r>
    </w:p>
    <w:p w14:paraId="24EFDD7F" w14:textId="77777777" w:rsidR="00D81755" w:rsidRDefault="00D81755">
      <w:pPr>
        <w:jc w:val="both"/>
        <w:rPr>
          <w:sz w:val="20"/>
          <w:szCs w:val="20"/>
        </w:rPr>
      </w:pPr>
    </w:p>
    <w:p w14:paraId="24EFDD80" w14:textId="77777777" w:rsidR="00D81755" w:rsidRDefault="0073296A">
      <w:pPr>
        <w:jc w:val="both"/>
        <w:rPr>
          <w:sz w:val="20"/>
          <w:szCs w:val="20"/>
        </w:rPr>
      </w:pPr>
      <w:r>
        <w:rPr>
          <w:sz w:val="20"/>
          <w:szCs w:val="20"/>
        </w:rPr>
        <w:t xml:space="preserve">Influential reports regarding public health education suggest ways to address the evolving training needs of public health professionals. These publications include one report issued by the Centers for Disease Control and Prevention - Public Health's Infrastructure - and </w:t>
      </w:r>
      <w:r>
        <w:rPr>
          <w:sz w:val="20"/>
          <w:szCs w:val="20"/>
        </w:rPr>
        <w:lastRenderedPageBreak/>
        <w:t xml:space="preserve">three reports from the Institute of Medicine - Who Will Keep the Public </w:t>
      </w:r>
      <w:proofErr w:type="gramStart"/>
      <w:r>
        <w:rPr>
          <w:sz w:val="20"/>
          <w:szCs w:val="20"/>
        </w:rPr>
        <w:t>Healthy?;</w:t>
      </w:r>
      <w:proofErr w:type="gramEnd"/>
      <w:r>
        <w:rPr>
          <w:sz w:val="20"/>
          <w:szCs w:val="20"/>
        </w:rPr>
        <w:t xml:space="preserve"> The Future of Public Health in the 21st Century; and Crossing the Quality Chasm. The recommendations in these reports challenge new public health programs to train public health leaders to be boundary spanners - able to use the new tools and knowledge available </w:t>
      </w:r>
      <w:proofErr w:type="gramStart"/>
      <w:r>
        <w:rPr>
          <w:sz w:val="20"/>
          <w:szCs w:val="20"/>
        </w:rPr>
        <w:t>in order to</w:t>
      </w:r>
      <w:proofErr w:type="gramEnd"/>
      <w:r>
        <w:rPr>
          <w:sz w:val="20"/>
          <w:szCs w:val="20"/>
        </w:rPr>
        <w:t xml:space="preserve"> formulate solutions to the complex public health problems facing us. </w:t>
      </w:r>
    </w:p>
    <w:p w14:paraId="24EFDD81" w14:textId="77777777" w:rsidR="00D81755" w:rsidRDefault="00D81755">
      <w:pPr>
        <w:jc w:val="both"/>
        <w:rPr>
          <w:sz w:val="20"/>
          <w:szCs w:val="20"/>
        </w:rPr>
      </w:pPr>
    </w:p>
    <w:p w14:paraId="24EFDD82" w14:textId="77777777" w:rsidR="00D81755" w:rsidRDefault="0073296A">
      <w:pPr>
        <w:jc w:val="both"/>
        <w:rPr>
          <w:sz w:val="20"/>
          <w:szCs w:val="20"/>
        </w:rPr>
      </w:pPr>
      <w:r>
        <w:rPr>
          <w:sz w:val="20"/>
          <w:szCs w:val="20"/>
        </w:rPr>
        <w:t xml:space="preserve">These recent recommendations regarding public health can be synthesized as follows. In addition to </w:t>
      </w:r>
      <w:proofErr w:type="gramStart"/>
      <w:r>
        <w:rPr>
          <w:sz w:val="20"/>
          <w:szCs w:val="20"/>
        </w:rPr>
        <w:t>the traditional</w:t>
      </w:r>
      <w:proofErr w:type="gramEnd"/>
      <w:r>
        <w:rPr>
          <w:sz w:val="20"/>
          <w:szCs w:val="20"/>
        </w:rPr>
        <w:t xml:space="preserve"> knowledge, including epidemiology and biostatistics, public health leaders need: </w:t>
      </w:r>
    </w:p>
    <w:p w14:paraId="24EFDD83" w14:textId="77777777" w:rsidR="00D81755" w:rsidRDefault="0073296A">
      <w:pPr>
        <w:numPr>
          <w:ilvl w:val="0"/>
          <w:numId w:val="9"/>
        </w:numPr>
        <w:jc w:val="both"/>
        <w:rPr>
          <w:sz w:val="20"/>
          <w:szCs w:val="20"/>
        </w:rPr>
      </w:pPr>
      <w:r>
        <w:rPr>
          <w:sz w:val="20"/>
          <w:szCs w:val="20"/>
        </w:rPr>
        <w:t xml:space="preserve">An ecological understanding of the causes of poor health including, social, behavioral, environmental, occupational, demographic, policy, economic, and genetic factors as well as the interrelationship of these factors; </w:t>
      </w:r>
    </w:p>
    <w:p w14:paraId="24EFDD84" w14:textId="77777777" w:rsidR="00D81755" w:rsidRDefault="0073296A">
      <w:pPr>
        <w:numPr>
          <w:ilvl w:val="0"/>
          <w:numId w:val="9"/>
        </w:numPr>
        <w:jc w:val="both"/>
        <w:rPr>
          <w:sz w:val="20"/>
          <w:szCs w:val="20"/>
        </w:rPr>
      </w:pPr>
      <w:r>
        <w:rPr>
          <w:sz w:val="20"/>
          <w:szCs w:val="20"/>
        </w:rPr>
        <w:t xml:space="preserve">A thorough understanding and appreciation of the cultural heterogeneity of populations, its impact on public health initiatives, and tools to deal with issues arising from cultural heterogeneity; </w:t>
      </w:r>
    </w:p>
    <w:p w14:paraId="24EFDD85" w14:textId="77777777" w:rsidR="00D81755" w:rsidRDefault="0073296A">
      <w:pPr>
        <w:numPr>
          <w:ilvl w:val="0"/>
          <w:numId w:val="9"/>
        </w:numPr>
        <w:jc w:val="both"/>
        <w:rPr>
          <w:sz w:val="20"/>
          <w:szCs w:val="20"/>
        </w:rPr>
      </w:pPr>
      <w:r>
        <w:rPr>
          <w:sz w:val="20"/>
          <w:szCs w:val="20"/>
        </w:rPr>
        <w:t xml:space="preserve">A thorough understanding of the current system of addressing poor health - medical, dental, and public health - including organization, financing, regulation, accessibility, quality, effectiveness, and efficiency; </w:t>
      </w:r>
    </w:p>
    <w:p w14:paraId="24EFDD86" w14:textId="77777777" w:rsidR="00D81755" w:rsidRDefault="0073296A">
      <w:pPr>
        <w:numPr>
          <w:ilvl w:val="0"/>
          <w:numId w:val="9"/>
        </w:numPr>
        <w:jc w:val="both"/>
        <w:rPr>
          <w:sz w:val="20"/>
          <w:szCs w:val="20"/>
        </w:rPr>
      </w:pPr>
      <w:r>
        <w:rPr>
          <w:sz w:val="20"/>
          <w:szCs w:val="20"/>
        </w:rPr>
        <w:t xml:space="preserve">An orientation toward policy, as well as programmatic, solutions to public health problems and the skills to assess, develop, implement, and evaluate policies; </w:t>
      </w:r>
    </w:p>
    <w:p w14:paraId="24EFDD87" w14:textId="77777777" w:rsidR="00D81755" w:rsidRDefault="0073296A">
      <w:pPr>
        <w:numPr>
          <w:ilvl w:val="0"/>
          <w:numId w:val="9"/>
        </w:numPr>
        <w:jc w:val="both"/>
        <w:rPr>
          <w:sz w:val="20"/>
          <w:szCs w:val="20"/>
        </w:rPr>
      </w:pPr>
      <w:r>
        <w:rPr>
          <w:sz w:val="20"/>
          <w:szCs w:val="20"/>
        </w:rPr>
        <w:t xml:space="preserve">An orientation favoring evidence-based decision-making and the skills to develop evidence for public health decision-making including study design and analysis of data; </w:t>
      </w:r>
    </w:p>
    <w:p w14:paraId="24EFDD88" w14:textId="77777777" w:rsidR="00D81755" w:rsidRDefault="0073296A">
      <w:pPr>
        <w:numPr>
          <w:ilvl w:val="0"/>
          <w:numId w:val="9"/>
        </w:numPr>
        <w:jc w:val="both"/>
        <w:rPr>
          <w:sz w:val="20"/>
          <w:szCs w:val="20"/>
        </w:rPr>
      </w:pPr>
      <w:r>
        <w:rPr>
          <w:sz w:val="20"/>
          <w:szCs w:val="20"/>
        </w:rPr>
        <w:t xml:space="preserve">An orientation favoring accountability and continuous quality improvement in public health and the skills needed to measure accountability and assess performance; </w:t>
      </w:r>
    </w:p>
    <w:p w14:paraId="24EFDD89" w14:textId="77777777" w:rsidR="00D81755" w:rsidRDefault="0073296A">
      <w:pPr>
        <w:numPr>
          <w:ilvl w:val="0"/>
          <w:numId w:val="9"/>
        </w:numPr>
        <w:jc w:val="both"/>
        <w:rPr>
          <w:sz w:val="20"/>
          <w:szCs w:val="20"/>
        </w:rPr>
      </w:pPr>
      <w:r>
        <w:rPr>
          <w:sz w:val="20"/>
          <w:szCs w:val="20"/>
        </w:rPr>
        <w:t xml:space="preserve">Informatics skills including application of information technology to obtain, organize, and maintain useful data for public health decision-making; </w:t>
      </w:r>
    </w:p>
    <w:p w14:paraId="24EFDD8A" w14:textId="77777777" w:rsidR="00D81755" w:rsidRDefault="0073296A">
      <w:pPr>
        <w:numPr>
          <w:ilvl w:val="0"/>
          <w:numId w:val="9"/>
        </w:numPr>
        <w:jc w:val="both"/>
        <w:rPr>
          <w:sz w:val="20"/>
          <w:szCs w:val="20"/>
        </w:rPr>
      </w:pPr>
      <w:r>
        <w:rPr>
          <w:sz w:val="20"/>
          <w:szCs w:val="20"/>
        </w:rPr>
        <w:t xml:space="preserve">Leadership skills </w:t>
      </w:r>
      <w:proofErr w:type="gramStart"/>
      <w:r>
        <w:rPr>
          <w:sz w:val="20"/>
          <w:szCs w:val="20"/>
        </w:rPr>
        <w:t>including</w:t>
      </w:r>
      <w:proofErr w:type="gramEnd"/>
      <w:r>
        <w:rPr>
          <w:sz w:val="20"/>
          <w:szCs w:val="20"/>
        </w:rPr>
        <w:t xml:space="preserve"> </w:t>
      </w:r>
      <w:proofErr w:type="gramStart"/>
      <w:r>
        <w:rPr>
          <w:sz w:val="20"/>
          <w:szCs w:val="20"/>
        </w:rPr>
        <w:t>the conceptual</w:t>
      </w:r>
      <w:proofErr w:type="gramEnd"/>
      <w:r>
        <w:rPr>
          <w:sz w:val="20"/>
          <w:szCs w:val="20"/>
        </w:rPr>
        <w:t xml:space="preserve"> and analytical tools to prioritize problems and make sound decisions.</w:t>
      </w:r>
    </w:p>
    <w:p w14:paraId="24EFDD8B" w14:textId="77777777" w:rsidR="00D81755" w:rsidRDefault="00D81755">
      <w:pPr>
        <w:pBdr>
          <w:top w:val="nil"/>
          <w:left w:val="nil"/>
          <w:bottom w:val="nil"/>
          <w:right w:val="nil"/>
          <w:between w:val="nil"/>
        </w:pBdr>
        <w:jc w:val="both"/>
        <w:rPr>
          <w:color w:val="000000"/>
          <w:sz w:val="20"/>
          <w:szCs w:val="20"/>
        </w:rPr>
      </w:pPr>
    </w:p>
    <w:p w14:paraId="24EFDD8C" w14:textId="77777777" w:rsidR="00D81755" w:rsidRDefault="0073296A">
      <w:pPr>
        <w:pBdr>
          <w:top w:val="nil"/>
          <w:left w:val="nil"/>
          <w:bottom w:val="nil"/>
          <w:right w:val="nil"/>
          <w:between w:val="nil"/>
        </w:pBdr>
        <w:jc w:val="both"/>
        <w:rPr>
          <w:color w:val="000000"/>
          <w:sz w:val="20"/>
          <w:szCs w:val="20"/>
        </w:rPr>
      </w:pPr>
      <w:r>
        <w:rPr>
          <w:color w:val="000000"/>
          <w:sz w:val="20"/>
          <w:szCs w:val="20"/>
        </w:rPr>
        <w:t>Instilling a population health orientation and fostering the skills necessary to act upon it provide the Program’s graduates with the ability to meet the basic needs of public health today – defined as provision of the 10 Essential Public Health Services and the three core public health functions (assessment, policy development, and assurance) - as well as to expand the work of public health to achieve its broad mission "to fulfill society's interest in assuring conditions in which people can be healthy."</w:t>
      </w:r>
      <w:r>
        <w:rPr>
          <w:color w:val="000000"/>
          <w:sz w:val="20"/>
          <w:szCs w:val="20"/>
          <w:vertAlign w:val="superscript"/>
        </w:rPr>
        <w:footnoteReference w:id="2"/>
      </w:r>
      <w:r>
        <w:rPr>
          <w:color w:val="000000"/>
          <w:sz w:val="20"/>
          <w:szCs w:val="20"/>
        </w:rPr>
        <w:t xml:space="preserve"> </w:t>
      </w:r>
    </w:p>
    <w:p w14:paraId="24EFDD8D" w14:textId="77777777" w:rsidR="00D81755" w:rsidRDefault="00D81755">
      <w:pPr>
        <w:pBdr>
          <w:top w:val="nil"/>
          <w:left w:val="nil"/>
          <w:bottom w:val="nil"/>
          <w:right w:val="nil"/>
          <w:between w:val="nil"/>
        </w:pBdr>
        <w:jc w:val="both"/>
        <w:rPr>
          <w:color w:val="000000"/>
          <w:sz w:val="20"/>
          <w:szCs w:val="20"/>
          <w:u w:val="single"/>
        </w:rPr>
      </w:pPr>
    </w:p>
    <w:p w14:paraId="24EFDD8E" w14:textId="77777777" w:rsidR="00D81755" w:rsidRDefault="00D81755">
      <w:pPr>
        <w:rPr>
          <w:b/>
          <w:bCs/>
        </w:rPr>
      </w:pPr>
    </w:p>
    <w:p w14:paraId="24EFDD8F" w14:textId="77777777" w:rsidR="00D81755" w:rsidRDefault="0073296A">
      <w:pPr>
        <w:rPr>
          <w:b/>
          <w:bCs/>
        </w:rPr>
      </w:pPr>
      <w:r>
        <w:rPr>
          <w:b/>
          <w:bCs/>
        </w:rPr>
        <w:t>PPH MISSION, VISION, VALUES</w:t>
      </w:r>
    </w:p>
    <w:p w14:paraId="24EFDD90" w14:textId="77777777" w:rsidR="00D81755" w:rsidRDefault="00D81755"/>
    <w:p w14:paraId="24EFDD91" w14:textId="77777777" w:rsidR="00D81755" w:rsidRDefault="0073296A">
      <w:pPr>
        <w:rPr>
          <w:sz w:val="20"/>
          <w:szCs w:val="20"/>
        </w:rPr>
      </w:pPr>
      <w:r>
        <w:rPr>
          <w:sz w:val="20"/>
          <w:szCs w:val="20"/>
        </w:rPr>
        <w:t xml:space="preserve">Our vision is of a society of healthy communities in which all people </w:t>
      </w:r>
      <w:proofErr w:type="gramStart"/>
      <w:r>
        <w:rPr>
          <w:sz w:val="20"/>
          <w:szCs w:val="20"/>
        </w:rPr>
        <w:t>are able to</w:t>
      </w:r>
      <w:proofErr w:type="gramEnd"/>
      <w:r>
        <w:rPr>
          <w:sz w:val="20"/>
          <w:szCs w:val="20"/>
        </w:rPr>
        <w:t xml:space="preserve"> live up to their full human potential.</w:t>
      </w:r>
    </w:p>
    <w:p w14:paraId="24EFDD92" w14:textId="77777777" w:rsidR="00D81755" w:rsidRDefault="00D81755">
      <w:pPr>
        <w:rPr>
          <w:sz w:val="20"/>
          <w:szCs w:val="20"/>
        </w:rPr>
      </w:pPr>
    </w:p>
    <w:p w14:paraId="24EFDD93" w14:textId="77777777" w:rsidR="00D81755" w:rsidRDefault="0073296A">
      <w:pPr>
        <w:rPr>
          <w:sz w:val="20"/>
          <w:szCs w:val="20"/>
        </w:rPr>
      </w:pPr>
      <w:r>
        <w:rPr>
          <w:sz w:val="20"/>
          <w:szCs w:val="20"/>
        </w:rPr>
        <w:t xml:space="preserve">The mission of the Program in Public Health is to promote the health of populations at the regional, national, and global levels by developing the next generation of public health practitioners and health management leaders, as well as through programs of excellence in research, community engagement, and service. </w:t>
      </w:r>
    </w:p>
    <w:p w14:paraId="24EFDD94" w14:textId="77777777" w:rsidR="00D81755" w:rsidRDefault="00D81755">
      <w:pPr>
        <w:rPr>
          <w:sz w:val="20"/>
          <w:szCs w:val="20"/>
        </w:rPr>
      </w:pPr>
    </w:p>
    <w:p w14:paraId="24EFDD95" w14:textId="77777777" w:rsidR="00D81755" w:rsidRDefault="0073296A">
      <w:pPr>
        <w:rPr>
          <w:sz w:val="20"/>
          <w:szCs w:val="20"/>
        </w:rPr>
      </w:pPr>
      <w:r>
        <w:rPr>
          <w:sz w:val="20"/>
          <w:szCs w:val="20"/>
        </w:rPr>
        <w:t>Our mission is informed by the following values:</w:t>
      </w:r>
    </w:p>
    <w:p w14:paraId="24EFDD96" w14:textId="77777777" w:rsidR="00D81755" w:rsidRDefault="00D81755">
      <w:pPr>
        <w:rPr>
          <w:sz w:val="20"/>
          <w:szCs w:val="20"/>
        </w:rPr>
      </w:pPr>
    </w:p>
    <w:p w14:paraId="24EFDD97" w14:textId="77777777" w:rsidR="00D81755" w:rsidRDefault="0073296A">
      <w:pPr>
        <w:rPr>
          <w:color w:val="000000"/>
          <w:sz w:val="20"/>
          <w:szCs w:val="20"/>
          <w:highlight w:val="white"/>
        </w:rPr>
      </w:pPr>
      <w:r>
        <w:rPr>
          <w:sz w:val="20"/>
          <w:szCs w:val="20"/>
        </w:rPr>
        <w:t xml:space="preserve">Excellence: </w:t>
      </w:r>
      <w:r>
        <w:rPr>
          <w:color w:val="000000"/>
          <w:sz w:val="20"/>
          <w:szCs w:val="20"/>
          <w:highlight w:val="white"/>
        </w:rPr>
        <w:t xml:space="preserve">Throughout </w:t>
      </w:r>
      <w:proofErr w:type="gramStart"/>
      <w:r>
        <w:rPr>
          <w:color w:val="000000"/>
          <w:sz w:val="20"/>
          <w:szCs w:val="20"/>
          <w:highlight w:val="white"/>
        </w:rPr>
        <w:t>all of</w:t>
      </w:r>
      <w:proofErr w:type="gramEnd"/>
      <w:r>
        <w:rPr>
          <w:color w:val="000000"/>
          <w:sz w:val="20"/>
          <w:szCs w:val="20"/>
          <w:highlight w:val="white"/>
        </w:rPr>
        <w:t xml:space="preserve"> our programs, we seek to earn and maintain the highest degree of excellence, which is verified by the most rigorous external metrics and standards.</w:t>
      </w:r>
    </w:p>
    <w:p w14:paraId="24EFDD98" w14:textId="77777777" w:rsidR="00D81755" w:rsidRDefault="0073296A">
      <w:pPr>
        <w:rPr>
          <w:sz w:val="20"/>
          <w:szCs w:val="20"/>
        </w:rPr>
      </w:pPr>
      <w:r>
        <w:rPr>
          <w:sz w:val="20"/>
          <w:szCs w:val="20"/>
        </w:rPr>
        <w:t xml:space="preserve"> </w:t>
      </w:r>
    </w:p>
    <w:p w14:paraId="24EFDD99" w14:textId="77777777" w:rsidR="00D81755" w:rsidRDefault="0073296A">
      <w:pPr>
        <w:rPr>
          <w:color w:val="000000"/>
          <w:sz w:val="20"/>
          <w:szCs w:val="20"/>
          <w:highlight w:val="white"/>
        </w:rPr>
      </w:pPr>
      <w:r>
        <w:rPr>
          <w:sz w:val="20"/>
          <w:szCs w:val="20"/>
        </w:rPr>
        <w:t xml:space="preserve">Synergy: </w:t>
      </w:r>
      <w:r>
        <w:rPr>
          <w:color w:val="000000"/>
          <w:sz w:val="20"/>
          <w:szCs w:val="20"/>
          <w:highlight w:val="white"/>
        </w:rPr>
        <w:t xml:space="preserve">We strive to incorporate </w:t>
      </w:r>
      <w:proofErr w:type="gramStart"/>
      <w:r>
        <w:rPr>
          <w:color w:val="000000"/>
          <w:sz w:val="20"/>
          <w:szCs w:val="20"/>
          <w:highlight w:val="white"/>
        </w:rPr>
        <w:t>all of</w:t>
      </w:r>
      <w:proofErr w:type="gramEnd"/>
      <w:r>
        <w:rPr>
          <w:color w:val="000000"/>
          <w:sz w:val="20"/>
          <w:szCs w:val="20"/>
          <w:highlight w:val="white"/>
        </w:rPr>
        <w:t xml:space="preserve"> the dynamic disciplines that fall under the purview of public health into intellectually stimulating curricula and innovative research endeavors.</w:t>
      </w:r>
    </w:p>
    <w:p w14:paraId="24EFDD9A" w14:textId="77777777" w:rsidR="00D81755" w:rsidRDefault="0073296A">
      <w:pPr>
        <w:rPr>
          <w:sz w:val="20"/>
          <w:szCs w:val="20"/>
        </w:rPr>
      </w:pPr>
      <w:r>
        <w:rPr>
          <w:sz w:val="20"/>
          <w:szCs w:val="20"/>
        </w:rPr>
        <w:t xml:space="preserve"> </w:t>
      </w:r>
    </w:p>
    <w:p w14:paraId="24EFDD9B" w14:textId="77777777" w:rsidR="00D81755" w:rsidRDefault="0073296A">
      <w:pPr>
        <w:rPr>
          <w:color w:val="000000"/>
          <w:sz w:val="20"/>
          <w:szCs w:val="20"/>
          <w:highlight w:val="white"/>
        </w:rPr>
      </w:pPr>
      <w:r>
        <w:rPr>
          <w:sz w:val="20"/>
          <w:szCs w:val="20"/>
        </w:rPr>
        <w:t xml:space="preserve">Support: </w:t>
      </w:r>
      <w:r>
        <w:rPr>
          <w:color w:val="000000"/>
          <w:sz w:val="20"/>
          <w:szCs w:val="20"/>
          <w:highlight w:val="white"/>
        </w:rPr>
        <w:t>We design our educational programs and PPH support systems with intentionality, so that all students have the tools to ensure their academic success. Our obligation to our students also extends to professional development; we aim to facilitate career success at any stage, whether it is initiating a new career, advancement in a current career, or attainment of leadership positions.</w:t>
      </w:r>
    </w:p>
    <w:p w14:paraId="24EFDD9C" w14:textId="77777777" w:rsidR="00D81755" w:rsidRDefault="0073296A">
      <w:pPr>
        <w:rPr>
          <w:sz w:val="20"/>
          <w:szCs w:val="20"/>
        </w:rPr>
      </w:pPr>
      <w:r>
        <w:rPr>
          <w:sz w:val="20"/>
          <w:szCs w:val="20"/>
        </w:rPr>
        <w:t xml:space="preserve"> </w:t>
      </w:r>
    </w:p>
    <w:p w14:paraId="24EFDD9D" w14:textId="77777777" w:rsidR="00D81755" w:rsidRDefault="0073296A">
      <w:pPr>
        <w:rPr>
          <w:color w:val="000000"/>
          <w:sz w:val="20"/>
          <w:szCs w:val="20"/>
          <w:highlight w:val="white"/>
        </w:rPr>
      </w:pPr>
      <w:r>
        <w:rPr>
          <w:sz w:val="20"/>
          <w:szCs w:val="20"/>
        </w:rPr>
        <w:t xml:space="preserve">Equity and inclusiveness: </w:t>
      </w:r>
      <w:r>
        <w:rPr>
          <w:color w:val="000000"/>
          <w:sz w:val="20"/>
          <w:szCs w:val="20"/>
          <w:highlight w:val="white"/>
        </w:rPr>
        <w:t>We strive to empower communities. We work to promote health equity and environmental justice for all people and populations.</w:t>
      </w:r>
    </w:p>
    <w:p w14:paraId="24EFDD9E" w14:textId="77777777" w:rsidR="00D81755" w:rsidRDefault="0073296A">
      <w:pPr>
        <w:rPr>
          <w:b/>
          <w:bCs/>
        </w:rPr>
      </w:pPr>
      <w:r>
        <w:rPr>
          <w:sz w:val="20"/>
          <w:szCs w:val="20"/>
        </w:rPr>
        <w:t xml:space="preserve"> </w:t>
      </w:r>
    </w:p>
    <w:p w14:paraId="24EFDD9F" w14:textId="77777777" w:rsidR="00D81755" w:rsidRDefault="00D81755">
      <w:pPr>
        <w:rPr>
          <w:b/>
          <w:bCs/>
        </w:rPr>
      </w:pPr>
    </w:p>
    <w:p w14:paraId="24EFDDA0" w14:textId="77777777" w:rsidR="00D81755" w:rsidRDefault="0073296A">
      <w:pPr>
        <w:rPr>
          <w:b/>
          <w:bCs/>
        </w:rPr>
      </w:pPr>
      <w:r>
        <w:br w:type="page"/>
      </w:r>
    </w:p>
    <w:p w14:paraId="24EFDDA1" w14:textId="77777777" w:rsidR="00D81755" w:rsidRDefault="0073296A">
      <w:pPr>
        <w:pStyle w:val="Heading1"/>
      </w:pPr>
      <w:bookmarkStart w:id="14" w:name="_heading=h.9vtev2wyfc6w" w:colFirst="0" w:colLast="0"/>
      <w:bookmarkEnd w:id="14"/>
      <w:r>
        <w:lastRenderedPageBreak/>
        <w:t>MPH DEGREE PROGRAM</w:t>
      </w:r>
    </w:p>
    <w:p w14:paraId="24EFDDA2" w14:textId="77777777" w:rsidR="00D81755" w:rsidRDefault="00D81755">
      <w:pPr>
        <w:jc w:val="both"/>
        <w:rPr>
          <w:color w:val="000000"/>
          <w:sz w:val="20"/>
          <w:szCs w:val="20"/>
        </w:rPr>
      </w:pPr>
    </w:p>
    <w:p w14:paraId="24EFDDA3" w14:textId="77777777" w:rsidR="00D81755" w:rsidRDefault="0073296A">
      <w:pPr>
        <w:pStyle w:val="Heading2"/>
      </w:pPr>
      <w:bookmarkStart w:id="15" w:name="_heading=h.g0qiyyu7eqgc" w:colFirst="0" w:colLast="0"/>
      <w:bookmarkEnd w:id="15"/>
      <w:r>
        <w:t>MPH MISSION, VISION, VALUES</w:t>
      </w:r>
    </w:p>
    <w:p w14:paraId="24EFDDA4" w14:textId="77777777" w:rsidR="00D81755" w:rsidRDefault="0073296A">
      <w:pPr>
        <w:pBdr>
          <w:top w:val="nil"/>
          <w:left w:val="nil"/>
          <w:bottom w:val="nil"/>
          <w:right w:val="nil"/>
          <w:between w:val="nil"/>
        </w:pBdr>
        <w:spacing w:after="182"/>
        <w:jc w:val="both"/>
        <w:rPr>
          <w:color w:val="000000"/>
          <w:sz w:val="20"/>
          <w:szCs w:val="20"/>
        </w:rPr>
      </w:pPr>
      <w:r>
        <w:rPr>
          <w:color w:val="000000"/>
          <w:sz w:val="20"/>
          <w:szCs w:val="20"/>
        </w:rPr>
        <w:t xml:space="preserve">The mission of the </w:t>
      </w:r>
      <w:r>
        <w:rPr>
          <w:i/>
          <w:iCs/>
          <w:color w:val="000000"/>
          <w:sz w:val="20"/>
          <w:szCs w:val="20"/>
        </w:rPr>
        <w:t>Master of Public Health</w:t>
      </w:r>
      <w:r>
        <w:rPr>
          <w:color w:val="000000"/>
          <w:sz w:val="20"/>
          <w:szCs w:val="20"/>
        </w:rPr>
        <w:t xml:space="preserve"> degree program is to train the next generation of public health practitioners, scholars and leaders so as to promote improvements in the health of all populations - including the elimination of health disparities across the life-course through excellence in education, research, community engagement, service and empowerment locally, nationally, and globally.</w:t>
      </w:r>
    </w:p>
    <w:p w14:paraId="24EFDDA5" w14:textId="77777777" w:rsidR="00D81755" w:rsidRDefault="0073296A">
      <w:pPr>
        <w:jc w:val="both"/>
        <w:rPr>
          <w:color w:val="000000"/>
          <w:sz w:val="20"/>
          <w:szCs w:val="20"/>
        </w:rPr>
      </w:pPr>
      <w:r>
        <w:rPr>
          <w:color w:val="000000"/>
          <w:sz w:val="20"/>
          <w:szCs w:val="20"/>
        </w:rPr>
        <w:t xml:space="preserve">The vision of the PPH’s </w:t>
      </w:r>
      <w:r>
        <w:rPr>
          <w:i/>
          <w:iCs/>
          <w:color w:val="000000"/>
          <w:sz w:val="20"/>
          <w:szCs w:val="20"/>
        </w:rPr>
        <w:t xml:space="preserve">Master of Public Health </w:t>
      </w:r>
      <w:r>
        <w:rPr>
          <w:color w:val="000000"/>
          <w:sz w:val="20"/>
          <w:szCs w:val="20"/>
        </w:rPr>
        <w:t>degree program</w:t>
      </w:r>
      <w:r>
        <w:rPr>
          <w:i/>
          <w:iCs/>
          <w:color w:val="000000"/>
          <w:sz w:val="20"/>
          <w:szCs w:val="20"/>
        </w:rPr>
        <w:t xml:space="preserve"> </w:t>
      </w:r>
      <w:r>
        <w:rPr>
          <w:color w:val="000000"/>
          <w:sz w:val="20"/>
          <w:szCs w:val="20"/>
        </w:rPr>
        <w:t xml:space="preserve">is </w:t>
      </w:r>
      <w:r>
        <w:rPr>
          <w:sz w:val="20"/>
          <w:szCs w:val="20"/>
        </w:rPr>
        <w:t xml:space="preserve">to improve the health of all people on Long Island and globally through leading and collaborating on impactful public health research, training competent public health professionals and developing future leaders, and engaging with diverse communities. </w:t>
      </w:r>
    </w:p>
    <w:p w14:paraId="24EFDDA6" w14:textId="77777777" w:rsidR="00D81755" w:rsidRDefault="00D81755">
      <w:pPr>
        <w:jc w:val="both"/>
        <w:rPr>
          <w:color w:val="000000"/>
          <w:sz w:val="20"/>
          <w:szCs w:val="20"/>
        </w:rPr>
      </w:pPr>
    </w:p>
    <w:p w14:paraId="24EFDDA7" w14:textId="77777777" w:rsidR="00D81755" w:rsidRDefault="0073296A">
      <w:pPr>
        <w:jc w:val="both"/>
        <w:rPr>
          <w:color w:val="000000"/>
          <w:sz w:val="20"/>
          <w:szCs w:val="20"/>
        </w:rPr>
      </w:pPr>
      <w:r>
        <w:rPr>
          <w:color w:val="000000"/>
          <w:sz w:val="20"/>
          <w:szCs w:val="20"/>
        </w:rPr>
        <w:t xml:space="preserve">The specific goals and measurable objectives developed by the faculty (with feedback and contributions from our public health community and constituents) of the </w:t>
      </w:r>
      <w:r>
        <w:rPr>
          <w:i/>
          <w:iCs/>
          <w:sz w:val="20"/>
          <w:szCs w:val="20"/>
        </w:rPr>
        <w:t>Master of Public Health</w:t>
      </w:r>
      <w:r>
        <w:rPr>
          <w:sz w:val="20"/>
          <w:szCs w:val="20"/>
        </w:rPr>
        <w:t xml:space="preserve"> degree program </w:t>
      </w:r>
      <w:r>
        <w:rPr>
          <w:color w:val="000000"/>
          <w:sz w:val="20"/>
          <w:szCs w:val="20"/>
        </w:rPr>
        <w:t>are contained in Table 1 of this bulletin (</w:t>
      </w:r>
      <w:proofErr w:type="spellStart"/>
      <w:r>
        <w:rPr>
          <w:color w:val="000000"/>
          <w:sz w:val="20"/>
          <w:szCs w:val="20"/>
        </w:rPr>
        <w:t>pg</w:t>
      </w:r>
      <w:proofErr w:type="spellEnd"/>
      <w:r>
        <w:rPr>
          <w:color w:val="000000"/>
          <w:sz w:val="20"/>
          <w:szCs w:val="20"/>
        </w:rPr>
        <w:t xml:space="preserve"> 34). The Program’s website also contains this table with all associated measurable objectives, at:</w:t>
      </w:r>
    </w:p>
    <w:p w14:paraId="24EFDDA8" w14:textId="77777777" w:rsidR="00D81755" w:rsidRDefault="0073296A">
      <w:pPr>
        <w:jc w:val="both"/>
        <w:rPr>
          <w:color w:val="000000"/>
          <w:sz w:val="20"/>
          <w:szCs w:val="20"/>
        </w:rPr>
      </w:pPr>
      <w:r>
        <w:rPr>
          <w:color w:val="000000"/>
          <w:sz w:val="20"/>
          <w:szCs w:val="20"/>
        </w:rPr>
        <w:t xml:space="preserve"> </w:t>
      </w:r>
      <w:hyperlink r:id="rId16">
        <w:r>
          <w:rPr>
            <w:color w:val="0000FF"/>
            <w:sz w:val="20"/>
            <w:szCs w:val="20"/>
            <w:u w:val="single"/>
          </w:rPr>
          <w:t>http://publichealth.stonybrookmedicine.edu/about/visionmissionandgoals</w:t>
        </w:r>
      </w:hyperlink>
      <w:r>
        <w:rPr>
          <w:color w:val="000000"/>
          <w:sz w:val="20"/>
          <w:szCs w:val="20"/>
        </w:rPr>
        <w:t xml:space="preserve"> </w:t>
      </w:r>
    </w:p>
    <w:p w14:paraId="24EFDDA9" w14:textId="77777777" w:rsidR="00D81755" w:rsidRDefault="00D81755">
      <w:pPr>
        <w:jc w:val="both"/>
        <w:rPr>
          <w:color w:val="000000"/>
          <w:sz w:val="20"/>
          <w:szCs w:val="20"/>
        </w:rPr>
      </w:pPr>
    </w:p>
    <w:p w14:paraId="24EFDDAA" w14:textId="77777777" w:rsidR="00D81755" w:rsidRDefault="0073296A">
      <w:pPr>
        <w:jc w:val="both"/>
        <w:rPr>
          <w:color w:val="000000"/>
          <w:sz w:val="20"/>
          <w:szCs w:val="20"/>
        </w:rPr>
      </w:pPr>
      <w:r>
        <w:rPr>
          <w:color w:val="000000"/>
          <w:sz w:val="20"/>
          <w:szCs w:val="20"/>
        </w:rPr>
        <w:t xml:space="preserve">To achieve its general educational, research, and community benefit goals, the </w:t>
      </w:r>
      <w:r>
        <w:rPr>
          <w:i/>
          <w:iCs/>
          <w:sz w:val="20"/>
          <w:szCs w:val="20"/>
        </w:rPr>
        <w:t>Master of Public Health</w:t>
      </w:r>
      <w:r>
        <w:rPr>
          <w:sz w:val="20"/>
          <w:szCs w:val="20"/>
        </w:rPr>
        <w:t xml:space="preserve"> degree program</w:t>
      </w:r>
      <w:r>
        <w:rPr>
          <w:color w:val="000000"/>
          <w:sz w:val="20"/>
          <w:szCs w:val="20"/>
        </w:rPr>
        <w:t xml:space="preserve"> trains public health professionals who: </w:t>
      </w:r>
    </w:p>
    <w:p w14:paraId="24EFDDAB" w14:textId="77777777" w:rsidR="00D81755" w:rsidRDefault="0073296A">
      <w:pPr>
        <w:numPr>
          <w:ilvl w:val="0"/>
          <w:numId w:val="24"/>
        </w:numPr>
        <w:jc w:val="both"/>
        <w:rPr>
          <w:color w:val="000000"/>
          <w:sz w:val="20"/>
          <w:szCs w:val="20"/>
        </w:rPr>
      </w:pPr>
      <w:r>
        <w:rPr>
          <w:color w:val="000000"/>
          <w:sz w:val="20"/>
          <w:szCs w:val="20"/>
        </w:rPr>
        <w:t xml:space="preserve">Understand the multiple determinants of health and illness including the social, behavioral, environmental, demographic, occupational, policy, economic, genetic, and health care determinants; and </w:t>
      </w:r>
    </w:p>
    <w:p w14:paraId="24EFDDAC" w14:textId="77777777" w:rsidR="00D81755" w:rsidRDefault="0073296A">
      <w:pPr>
        <w:numPr>
          <w:ilvl w:val="0"/>
          <w:numId w:val="24"/>
        </w:numPr>
        <w:jc w:val="both"/>
        <w:rPr>
          <w:color w:val="000000"/>
          <w:sz w:val="20"/>
          <w:szCs w:val="20"/>
        </w:rPr>
      </w:pPr>
      <w:r>
        <w:rPr>
          <w:color w:val="000000"/>
          <w:sz w:val="20"/>
          <w:szCs w:val="20"/>
        </w:rPr>
        <w:t xml:space="preserve">Appreciate the need for interdisciplinary collaboration </w:t>
      </w:r>
      <w:proofErr w:type="gramStart"/>
      <w:r>
        <w:rPr>
          <w:color w:val="000000"/>
          <w:sz w:val="20"/>
          <w:szCs w:val="20"/>
        </w:rPr>
        <w:t>in order to</w:t>
      </w:r>
      <w:proofErr w:type="gramEnd"/>
      <w:r>
        <w:rPr>
          <w:color w:val="000000"/>
          <w:sz w:val="20"/>
          <w:szCs w:val="20"/>
        </w:rPr>
        <w:t xml:space="preserve"> understand population health problems and develop optimal strategies to address them; and, </w:t>
      </w:r>
    </w:p>
    <w:p w14:paraId="24EFDDAD" w14:textId="77777777" w:rsidR="00D81755" w:rsidRDefault="0073296A">
      <w:pPr>
        <w:numPr>
          <w:ilvl w:val="0"/>
          <w:numId w:val="24"/>
        </w:numPr>
        <w:jc w:val="both"/>
        <w:rPr>
          <w:color w:val="000000"/>
          <w:sz w:val="20"/>
          <w:szCs w:val="20"/>
        </w:rPr>
      </w:pPr>
      <w:r>
        <w:rPr>
          <w:color w:val="000000"/>
          <w:sz w:val="20"/>
          <w:szCs w:val="20"/>
        </w:rPr>
        <w:t xml:space="preserve">Have the strongest analytical, conceptual, and communication skills </w:t>
      </w:r>
      <w:proofErr w:type="gramStart"/>
      <w:r>
        <w:rPr>
          <w:color w:val="000000"/>
          <w:sz w:val="20"/>
          <w:szCs w:val="20"/>
        </w:rPr>
        <w:t>in order to</w:t>
      </w:r>
      <w:proofErr w:type="gramEnd"/>
      <w:r>
        <w:rPr>
          <w:color w:val="000000"/>
          <w:sz w:val="20"/>
          <w:szCs w:val="20"/>
        </w:rPr>
        <w:t xml:space="preserve"> facilitate development and implementation of optimal strategies for addressing population health problems.</w:t>
      </w:r>
    </w:p>
    <w:p w14:paraId="24EFDDAE" w14:textId="77777777" w:rsidR="00D81755" w:rsidRDefault="00D81755">
      <w:pPr>
        <w:ind w:left="720"/>
        <w:jc w:val="both"/>
        <w:rPr>
          <w:b/>
          <w:bCs/>
          <w:sz w:val="20"/>
          <w:szCs w:val="20"/>
        </w:rPr>
      </w:pPr>
    </w:p>
    <w:p w14:paraId="24EFDDAF" w14:textId="77777777" w:rsidR="00D81755" w:rsidRDefault="00D81755">
      <w:pPr>
        <w:jc w:val="both"/>
        <w:rPr>
          <w:b/>
          <w:bCs/>
          <w:i/>
          <w:iCs/>
          <w:sz w:val="20"/>
          <w:szCs w:val="20"/>
        </w:rPr>
      </w:pPr>
    </w:p>
    <w:p w14:paraId="24EFDDB0" w14:textId="77777777" w:rsidR="00D81755" w:rsidRDefault="0073296A">
      <w:pPr>
        <w:jc w:val="both"/>
        <w:rPr>
          <w:b/>
          <w:bCs/>
          <w:sz w:val="20"/>
          <w:szCs w:val="20"/>
        </w:rPr>
      </w:pPr>
      <w:r>
        <w:rPr>
          <w:b/>
          <w:bCs/>
          <w:i/>
          <w:iCs/>
          <w:sz w:val="20"/>
          <w:szCs w:val="20"/>
        </w:rPr>
        <w:t>Master of Public Health</w:t>
      </w:r>
      <w:r>
        <w:rPr>
          <w:b/>
          <w:bCs/>
          <w:sz w:val="20"/>
          <w:szCs w:val="20"/>
        </w:rPr>
        <w:t xml:space="preserve"> Degree Program Values</w:t>
      </w:r>
    </w:p>
    <w:p w14:paraId="24EFDDB1" w14:textId="77777777" w:rsidR="00D81755" w:rsidRDefault="0073296A">
      <w:pPr>
        <w:jc w:val="both"/>
        <w:rPr>
          <w:sz w:val="20"/>
          <w:szCs w:val="20"/>
        </w:rPr>
      </w:pPr>
      <w:r>
        <w:rPr>
          <w:sz w:val="20"/>
          <w:szCs w:val="20"/>
        </w:rPr>
        <w:t xml:space="preserve">The </w:t>
      </w:r>
      <w:r>
        <w:rPr>
          <w:i/>
          <w:iCs/>
          <w:sz w:val="20"/>
          <w:szCs w:val="20"/>
        </w:rPr>
        <w:t>Master of Public Health</w:t>
      </w:r>
      <w:r>
        <w:rPr>
          <w:sz w:val="20"/>
          <w:szCs w:val="20"/>
        </w:rPr>
        <w:t xml:space="preserve"> degree program</w:t>
      </w:r>
      <w:r>
        <w:rPr>
          <w:color w:val="000000"/>
          <w:sz w:val="20"/>
          <w:szCs w:val="20"/>
        </w:rPr>
        <w:t xml:space="preserve"> </w:t>
      </w:r>
      <w:r>
        <w:rPr>
          <w:sz w:val="20"/>
          <w:szCs w:val="20"/>
        </w:rPr>
        <w:t xml:space="preserve">embraces as a core value adherence to all ethical standards of conduct and academic integrity.  The </w:t>
      </w:r>
      <w:r>
        <w:rPr>
          <w:i/>
          <w:iCs/>
          <w:sz w:val="20"/>
          <w:szCs w:val="20"/>
        </w:rPr>
        <w:t>Master of Public Health</w:t>
      </w:r>
      <w:r>
        <w:rPr>
          <w:sz w:val="20"/>
          <w:szCs w:val="20"/>
        </w:rPr>
        <w:t xml:space="preserve"> degree program</w:t>
      </w:r>
      <w:r>
        <w:rPr>
          <w:color w:val="000000"/>
          <w:sz w:val="20"/>
          <w:szCs w:val="20"/>
        </w:rPr>
        <w:t>’</w:t>
      </w:r>
      <w:r>
        <w:rPr>
          <w:sz w:val="20"/>
          <w:szCs w:val="20"/>
        </w:rPr>
        <w:t>s culture inherently values: beneficence, diversity and inclusiveness, reduction of health disparities, protection of vulnerable populations, the balance of public health with human rights, and community engagement. In support of the mission statement, the Program values the training of students as public health problem solvers with a population health orientation by a multi-faceted team of faculty, staff, and public health practitioners.  The Program operationalizes its values through the following pillars upon which the Program stands: instruction, scholarship, and service.</w:t>
      </w:r>
    </w:p>
    <w:p w14:paraId="24EFDDB2" w14:textId="77777777" w:rsidR="00D81755" w:rsidRDefault="00D81755">
      <w:pPr>
        <w:jc w:val="both"/>
        <w:rPr>
          <w:sz w:val="20"/>
          <w:szCs w:val="20"/>
        </w:rPr>
      </w:pPr>
    </w:p>
    <w:p w14:paraId="24EFDDB3" w14:textId="77777777" w:rsidR="00D81755" w:rsidRDefault="0073296A">
      <w:pPr>
        <w:jc w:val="both"/>
        <w:rPr>
          <w:b/>
          <w:bCs/>
          <w:i/>
          <w:iCs/>
          <w:sz w:val="20"/>
          <w:szCs w:val="20"/>
        </w:rPr>
      </w:pPr>
      <w:r>
        <w:rPr>
          <w:b/>
          <w:bCs/>
          <w:i/>
          <w:iCs/>
          <w:sz w:val="20"/>
          <w:szCs w:val="20"/>
        </w:rPr>
        <w:t>Instruction</w:t>
      </w:r>
    </w:p>
    <w:p w14:paraId="24EFDDB4" w14:textId="77777777" w:rsidR="00D81755" w:rsidRDefault="0073296A">
      <w:pPr>
        <w:jc w:val="both"/>
        <w:rPr>
          <w:sz w:val="20"/>
          <w:szCs w:val="20"/>
        </w:rPr>
      </w:pPr>
      <w:r>
        <w:rPr>
          <w:sz w:val="20"/>
          <w:szCs w:val="20"/>
        </w:rPr>
        <w:t xml:space="preserve">The </w:t>
      </w:r>
      <w:r>
        <w:rPr>
          <w:i/>
          <w:iCs/>
          <w:sz w:val="20"/>
          <w:szCs w:val="20"/>
        </w:rPr>
        <w:t xml:space="preserve">Master of Public Health </w:t>
      </w:r>
      <w:r>
        <w:rPr>
          <w:sz w:val="20"/>
          <w:szCs w:val="20"/>
        </w:rPr>
        <w:t>degree program values high-quality instruction that moves beyond the simple transmission of information to produce creative and critical thinkers. This value is operationalized through the provision of a competency-based Core and Concentration curricula that lead to the MPH degree. The program emphasizes the development of analytical and critical thinking skills and an ecological</w:t>
      </w:r>
      <w:r>
        <w:rPr>
          <w:rFonts w:ascii="Arial" w:eastAsia="Arial" w:hAnsi="Arial" w:cs="Arial"/>
          <w:sz w:val="20"/>
          <w:szCs w:val="20"/>
        </w:rPr>
        <w:t xml:space="preserve"> </w:t>
      </w:r>
      <w:r>
        <w:rPr>
          <w:sz w:val="20"/>
          <w:szCs w:val="20"/>
        </w:rPr>
        <w:t xml:space="preserve">approach to health improvement and disease prevention. </w:t>
      </w:r>
    </w:p>
    <w:p w14:paraId="24EFDDB5" w14:textId="77777777" w:rsidR="00D81755" w:rsidRDefault="00D81755">
      <w:pPr>
        <w:jc w:val="both"/>
        <w:rPr>
          <w:b/>
          <w:bCs/>
          <w:i/>
          <w:iCs/>
          <w:sz w:val="20"/>
          <w:szCs w:val="20"/>
        </w:rPr>
      </w:pPr>
    </w:p>
    <w:p w14:paraId="24EFDDB6" w14:textId="77777777" w:rsidR="00D81755" w:rsidRDefault="0073296A">
      <w:pPr>
        <w:jc w:val="both"/>
        <w:rPr>
          <w:b/>
          <w:bCs/>
          <w:i/>
          <w:iCs/>
          <w:sz w:val="20"/>
          <w:szCs w:val="20"/>
        </w:rPr>
      </w:pPr>
      <w:r>
        <w:rPr>
          <w:b/>
          <w:bCs/>
          <w:i/>
          <w:iCs/>
          <w:sz w:val="20"/>
          <w:szCs w:val="20"/>
        </w:rPr>
        <w:t>Scholarship</w:t>
      </w:r>
    </w:p>
    <w:p w14:paraId="24EFDDB7" w14:textId="77777777" w:rsidR="00D81755" w:rsidRDefault="0073296A">
      <w:pPr>
        <w:jc w:val="both"/>
        <w:rPr>
          <w:sz w:val="20"/>
          <w:szCs w:val="20"/>
        </w:rPr>
      </w:pPr>
      <w:r>
        <w:rPr>
          <w:sz w:val="20"/>
          <w:szCs w:val="20"/>
        </w:rPr>
        <w:t xml:space="preserve">The </w:t>
      </w:r>
      <w:r>
        <w:rPr>
          <w:i/>
          <w:iCs/>
          <w:sz w:val="20"/>
          <w:szCs w:val="20"/>
        </w:rPr>
        <w:t xml:space="preserve">Master of Public Health </w:t>
      </w:r>
      <w:r>
        <w:rPr>
          <w:sz w:val="20"/>
          <w:szCs w:val="20"/>
        </w:rPr>
        <w:t xml:space="preserve">degree program values scholarship and research that </w:t>
      </w:r>
      <w:proofErr w:type="gramStart"/>
      <w:r>
        <w:rPr>
          <w:sz w:val="20"/>
          <w:szCs w:val="20"/>
        </w:rPr>
        <w:t>contributes</w:t>
      </w:r>
      <w:proofErr w:type="gramEnd"/>
      <w:r>
        <w:rPr>
          <w:sz w:val="20"/>
          <w:szCs w:val="20"/>
        </w:rPr>
        <w:t xml:space="preserve"> to the health improvement of all populations and the elimination of health disparities. This value is operationalized by leading and facilitating interdisciplinary and collaborative scholarly research by the faculty and students, including work that emphasizes health improvement through community engagement and community-based participatory research (CBPR). </w:t>
      </w:r>
    </w:p>
    <w:p w14:paraId="24EFDDB8" w14:textId="77777777" w:rsidR="00D81755" w:rsidRDefault="00D81755">
      <w:pPr>
        <w:jc w:val="both"/>
        <w:rPr>
          <w:b/>
          <w:bCs/>
          <w:i/>
          <w:iCs/>
          <w:sz w:val="20"/>
          <w:szCs w:val="20"/>
        </w:rPr>
      </w:pPr>
    </w:p>
    <w:p w14:paraId="24EFDDB9" w14:textId="77777777" w:rsidR="00D81755" w:rsidRDefault="0073296A">
      <w:pPr>
        <w:jc w:val="both"/>
        <w:rPr>
          <w:b/>
          <w:bCs/>
          <w:sz w:val="20"/>
          <w:szCs w:val="20"/>
        </w:rPr>
      </w:pPr>
      <w:r>
        <w:rPr>
          <w:b/>
          <w:bCs/>
          <w:i/>
          <w:iCs/>
          <w:sz w:val="20"/>
          <w:szCs w:val="20"/>
        </w:rPr>
        <w:t>Service</w:t>
      </w:r>
    </w:p>
    <w:p w14:paraId="24EFDDBA" w14:textId="77777777" w:rsidR="00D81755" w:rsidRDefault="0073296A">
      <w:pPr>
        <w:jc w:val="both"/>
        <w:rPr>
          <w:sz w:val="20"/>
          <w:szCs w:val="20"/>
        </w:rPr>
      </w:pPr>
      <w:r>
        <w:rPr>
          <w:sz w:val="20"/>
          <w:szCs w:val="20"/>
        </w:rPr>
        <w:t xml:space="preserve">The </w:t>
      </w:r>
      <w:r>
        <w:rPr>
          <w:i/>
          <w:iCs/>
          <w:sz w:val="20"/>
          <w:szCs w:val="20"/>
        </w:rPr>
        <w:t xml:space="preserve">Master of Public Health </w:t>
      </w:r>
      <w:r>
        <w:rPr>
          <w:sz w:val="20"/>
          <w:szCs w:val="20"/>
        </w:rPr>
        <w:t xml:space="preserve">degree program values three types of service: Community; Professional; and University. </w:t>
      </w:r>
    </w:p>
    <w:p w14:paraId="24EFDDBB" w14:textId="77777777" w:rsidR="00D81755" w:rsidRDefault="0073296A">
      <w:pPr>
        <w:numPr>
          <w:ilvl w:val="0"/>
          <w:numId w:val="23"/>
        </w:numPr>
        <w:pBdr>
          <w:top w:val="nil"/>
          <w:left w:val="nil"/>
          <w:bottom w:val="nil"/>
          <w:right w:val="nil"/>
          <w:between w:val="nil"/>
        </w:pBdr>
        <w:jc w:val="both"/>
        <w:rPr>
          <w:color w:val="000000"/>
          <w:sz w:val="20"/>
          <w:szCs w:val="20"/>
        </w:rPr>
      </w:pPr>
      <w:r>
        <w:rPr>
          <w:color w:val="000000"/>
          <w:sz w:val="20"/>
          <w:szCs w:val="20"/>
        </w:rPr>
        <w:t xml:space="preserve">Community: The </w:t>
      </w:r>
      <w:r>
        <w:rPr>
          <w:i/>
          <w:iCs/>
          <w:color w:val="000000"/>
          <w:sz w:val="20"/>
          <w:szCs w:val="20"/>
        </w:rPr>
        <w:t xml:space="preserve">Master of Public Health </w:t>
      </w:r>
      <w:r>
        <w:rPr>
          <w:color w:val="000000"/>
          <w:sz w:val="20"/>
          <w:szCs w:val="20"/>
        </w:rPr>
        <w:t xml:space="preserve">degree program values direct service to communities.  This value is operationalized as advocating for improving population health and eliminating health disparities; and providing needs assessments and guidance for solutions to community health </w:t>
      </w:r>
      <w:proofErr w:type="gramStart"/>
      <w:r>
        <w:rPr>
          <w:color w:val="000000"/>
          <w:sz w:val="20"/>
          <w:szCs w:val="20"/>
        </w:rPr>
        <w:t>problems, and</w:t>
      </w:r>
      <w:proofErr w:type="gramEnd"/>
      <w:r>
        <w:rPr>
          <w:color w:val="000000"/>
          <w:sz w:val="20"/>
          <w:szCs w:val="20"/>
        </w:rPr>
        <w:t xml:space="preserve"> assisting the public health workforce. </w:t>
      </w:r>
    </w:p>
    <w:p w14:paraId="24EFDDBC" w14:textId="77777777" w:rsidR="00D81755" w:rsidRDefault="0073296A">
      <w:pPr>
        <w:numPr>
          <w:ilvl w:val="0"/>
          <w:numId w:val="23"/>
        </w:numPr>
        <w:pBdr>
          <w:top w:val="nil"/>
          <w:left w:val="nil"/>
          <w:bottom w:val="nil"/>
          <w:right w:val="nil"/>
          <w:between w:val="nil"/>
        </w:pBdr>
        <w:jc w:val="both"/>
        <w:rPr>
          <w:color w:val="000000"/>
          <w:sz w:val="20"/>
          <w:szCs w:val="20"/>
        </w:rPr>
      </w:pPr>
      <w:r>
        <w:rPr>
          <w:color w:val="000000"/>
          <w:sz w:val="20"/>
          <w:szCs w:val="20"/>
        </w:rPr>
        <w:t xml:space="preserve">Professional: The </w:t>
      </w:r>
      <w:r>
        <w:rPr>
          <w:i/>
          <w:iCs/>
          <w:color w:val="000000"/>
          <w:sz w:val="20"/>
          <w:szCs w:val="20"/>
        </w:rPr>
        <w:t xml:space="preserve">Master of Public Health </w:t>
      </w:r>
      <w:r>
        <w:rPr>
          <w:color w:val="000000"/>
          <w:sz w:val="20"/>
          <w:szCs w:val="20"/>
        </w:rPr>
        <w:t>degree program values faculty members’ contributions to organizations that advance their professional fields.  This value is operationalized by the faculty promotion and tenure criteria and by expectations for annual performance evaluations.</w:t>
      </w:r>
    </w:p>
    <w:p w14:paraId="24EFDDBD" w14:textId="77777777" w:rsidR="00D81755" w:rsidRDefault="0073296A">
      <w:pPr>
        <w:numPr>
          <w:ilvl w:val="0"/>
          <w:numId w:val="23"/>
        </w:numPr>
        <w:jc w:val="both"/>
        <w:rPr>
          <w:sz w:val="20"/>
          <w:szCs w:val="20"/>
        </w:rPr>
      </w:pPr>
      <w:r>
        <w:rPr>
          <w:sz w:val="20"/>
          <w:szCs w:val="20"/>
        </w:rPr>
        <w:t xml:space="preserve">University: The </w:t>
      </w:r>
      <w:r>
        <w:rPr>
          <w:i/>
          <w:iCs/>
          <w:sz w:val="20"/>
          <w:szCs w:val="20"/>
        </w:rPr>
        <w:t xml:space="preserve">Master of Public Health </w:t>
      </w:r>
      <w:r>
        <w:rPr>
          <w:sz w:val="20"/>
          <w:szCs w:val="20"/>
        </w:rPr>
        <w:t xml:space="preserve">degree program values service to the University, which is operationalized as mentoring other faculty and serving as members or leaders on committees that advance the mission and goals of the University and the </w:t>
      </w:r>
      <w:r>
        <w:rPr>
          <w:i/>
          <w:iCs/>
          <w:sz w:val="20"/>
          <w:szCs w:val="20"/>
        </w:rPr>
        <w:t xml:space="preserve">Master of </w:t>
      </w:r>
      <w:proofErr w:type="gramStart"/>
      <w:r>
        <w:rPr>
          <w:i/>
          <w:iCs/>
          <w:sz w:val="20"/>
          <w:szCs w:val="20"/>
        </w:rPr>
        <w:t>Public Health</w:t>
      </w:r>
      <w:proofErr w:type="gramEnd"/>
      <w:r>
        <w:rPr>
          <w:i/>
          <w:iCs/>
          <w:sz w:val="20"/>
          <w:szCs w:val="20"/>
        </w:rPr>
        <w:t xml:space="preserve"> </w:t>
      </w:r>
      <w:r>
        <w:rPr>
          <w:sz w:val="20"/>
          <w:szCs w:val="20"/>
        </w:rPr>
        <w:t xml:space="preserve">degree program. </w:t>
      </w:r>
    </w:p>
    <w:p w14:paraId="24EFDDBE" w14:textId="77777777" w:rsidR="00D81755" w:rsidRDefault="0073296A">
      <w:pPr>
        <w:pStyle w:val="Heading2"/>
      </w:pPr>
      <w:bookmarkStart w:id="16" w:name="_heading=h.lnxbz9" w:colFirst="0" w:colLast="0"/>
      <w:bookmarkEnd w:id="16"/>
      <w:r>
        <w:lastRenderedPageBreak/>
        <w:t>MPH ACCREDITATION</w:t>
      </w:r>
    </w:p>
    <w:p w14:paraId="24EFDDBF" w14:textId="77777777" w:rsidR="00D81755" w:rsidRDefault="0073296A">
      <w:pPr>
        <w:jc w:val="both"/>
      </w:pPr>
      <w:r>
        <w:rPr>
          <w:sz w:val="20"/>
          <w:szCs w:val="20"/>
        </w:rPr>
        <w:t>The PPH’s</w:t>
      </w:r>
      <w:r>
        <w:rPr>
          <w:i/>
          <w:iCs/>
          <w:sz w:val="20"/>
          <w:szCs w:val="20"/>
        </w:rPr>
        <w:t xml:space="preserve"> Master of Public Health </w:t>
      </w:r>
      <w:r>
        <w:rPr>
          <w:sz w:val="20"/>
          <w:szCs w:val="20"/>
        </w:rPr>
        <w:t xml:space="preserve">degree program received its initial accreditation by the Council on Education for Public Health (CEPH) in 2008 and </w:t>
      </w:r>
      <w:proofErr w:type="gramStart"/>
      <w:r>
        <w:rPr>
          <w:sz w:val="20"/>
          <w:szCs w:val="20"/>
        </w:rPr>
        <w:t>reaccredited</w:t>
      </w:r>
      <w:proofErr w:type="gramEnd"/>
      <w:r>
        <w:rPr>
          <w:sz w:val="20"/>
          <w:szCs w:val="20"/>
        </w:rPr>
        <w:t xml:space="preserve"> in 2014. Between 2020 and 2021 the PPH conducted a thorough self-study process whereby we engaged students, staff, faculty, and community stakeholders in an assessment of our program. We had a successful site visit in April 2021 (virtual</w:t>
      </w:r>
      <w:proofErr w:type="gramStart"/>
      <w:r>
        <w:rPr>
          <w:sz w:val="20"/>
          <w:szCs w:val="20"/>
        </w:rPr>
        <w:t>)</w:t>
      </w:r>
      <w:proofErr w:type="gramEnd"/>
      <w:r>
        <w:rPr>
          <w:sz w:val="20"/>
          <w:szCs w:val="20"/>
        </w:rPr>
        <w:t xml:space="preserve"> and we are re-accredited until 2028. </w:t>
      </w:r>
    </w:p>
    <w:p w14:paraId="24EFDDC0" w14:textId="77777777" w:rsidR="00D81755" w:rsidRDefault="00D81755">
      <w:pPr>
        <w:jc w:val="both"/>
        <w:rPr>
          <w:sz w:val="20"/>
          <w:szCs w:val="20"/>
        </w:rPr>
      </w:pPr>
    </w:p>
    <w:p w14:paraId="24EFDDC1" w14:textId="77777777" w:rsidR="00D81755" w:rsidRDefault="0073296A">
      <w:pPr>
        <w:jc w:val="both"/>
        <w:rPr>
          <w:sz w:val="20"/>
          <w:szCs w:val="20"/>
        </w:rPr>
      </w:pPr>
      <w:r>
        <w:rPr>
          <w:sz w:val="20"/>
          <w:szCs w:val="20"/>
        </w:rPr>
        <w:t xml:space="preserve">Because the </w:t>
      </w:r>
      <w:r>
        <w:rPr>
          <w:i/>
          <w:iCs/>
          <w:sz w:val="20"/>
          <w:szCs w:val="20"/>
        </w:rPr>
        <w:t xml:space="preserve">Master of Public Health </w:t>
      </w:r>
      <w:r>
        <w:rPr>
          <w:sz w:val="20"/>
          <w:szCs w:val="20"/>
        </w:rPr>
        <w:t>degree program is accredited, our alumni are eligible to be certified in public health by the National Board of Public Health Examiners (NBPHE).  This organization</w:t>
      </w:r>
      <w:r>
        <w:rPr>
          <w:b/>
          <w:bCs/>
          <w:sz w:val="20"/>
          <w:szCs w:val="20"/>
        </w:rPr>
        <w:t xml:space="preserve"> </w:t>
      </w:r>
      <w:r>
        <w:rPr>
          <w:sz w:val="20"/>
          <w:szCs w:val="20"/>
        </w:rPr>
        <w:t xml:space="preserve">was established in September 2005 for the purpose of ensuring that students and graduates from schools and programs of public health accredited by CEPH have mastered the knowledge and skills relevant to contemporary public health. The certification exam serves this purpose.  More information about NBPHE and the certification exam can be found at: </w:t>
      </w:r>
      <w:hyperlink r:id="rId17">
        <w:r>
          <w:rPr>
            <w:color w:val="0000FF"/>
            <w:sz w:val="20"/>
            <w:szCs w:val="20"/>
            <w:u w:val="single"/>
          </w:rPr>
          <w:t>https://www.nbphe.org/</w:t>
        </w:r>
      </w:hyperlink>
      <w:r>
        <w:t xml:space="preserve"> </w:t>
      </w:r>
    </w:p>
    <w:p w14:paraId="24EFDDC2" w14:textId="77777777" w:rsidR="00D81755" w:rsidRDefault="0073296A">
      <w:pPr>
        <w:pStyle w:val="Heading2"/>
      </w:pPr>
      <w:bookmarkStart w:id="17" w:name="_heading=h.viam99c210xp" w:colFirst="0" w:colLast="0"/>
      <w:bookmarkEnd w:id="17"/>
      <w:r>
        <w:t>MPH DEGREE CURRICULUM</w:t>
      </w:r>
    </w:p>
    <w:p w14:paraId="24EFDDC3" w14:textId="77777777" w:rsidR="00D81755" w:rsidRDefault="0073296A">
      <w:pPr>
        <w:jc w:val="both"/>
        <w:rPr>
          <w:sz w:val="20"/>
          <w:szCs w:val="20"/>
        </w:rPr>
      </w:pPr>
      <w:r>
        <w:rPr>
          <w:sz w:val="20"/>
          <w:szCs w:val="20"/>
        </w:rPr>
        <w:t xml:space="preserve">The curriculum for the MPH degree ensures that students are grounded in the 12 Foundational Public Health Knowledge Areas, as identified and required by CEPH. A table with a complete list of the Foundational Public Health Knowledge Areas is </w:t>
      </w:r>
      <w:r>
        <w:rPr>
          <w:color w:val="000000"/>
          <w:sz w:val="20"/>
          <w:szCs w:val="20"/>
        </w:rPr>
        <w:t xml:space="preserve">on the PPH website at </w:t>
      </w:r>
      <w:hyperlink r:id="rId18">
        <w:r>
          <w:rPr>
            <w:color w:val="0000FF"/>
            <w:sz w:val="20"/>
            <w:szCs w:val="20"/>
            <w:u w:val="single"/>
          </w:rPr>
          <w:t>https://publichealth.stonybrookmedicine.edu/academics/competencies</w:t>
        </w:r>
      </w:hyperlink>
      <w:r>
        <w:rPr>
          <w:color w:val="000000"/>
          <w:sz w:val="20"/>
          <w:szCs w:val="20"/>
        </w:rPr>
        <w:t>.</w:t>
      </w:r>
    </w:p>
    <w:p w14:paraId="24EFDDC4" w14:textId="77777777" w:rsidR="00D81755" w:rsidRDefault="00D81755">
      <w:pPr>
        <w:jc w:val="both"/>
        <w:rPr>
          <w:sz w:val="20"/>
          <w:szCs w:val="20"/>
        </w:rPr>
      </w:pPr>
    </w:p>
    <w:p w14:paraId="24EFDDC5" w14:textId="77777777" w:rsidR="00D81755" w:rsidRDefault="0073296A">
      <w:pPr>
        <w:jc w:val="both"/>
        <w:rPr>
          <w:color w:val="000000"/>
          <w:sz w:val="20"/>
          <w:szCs w:val="20"/>
        </w:rPr>
      </w:pPr>
      <w:r>
        <w:rPr>
          <w:color w:val="000000"/>
          <w:sz w:val="20"/>
          <w:szCs w:val="20"/>
        </w:rPr>
        <w:t xml:space="preserve">Students receive training in the five-core discipline-specific competency areas of public health: biostatistics, environmental health, epidemiology, health policy and management, and the social and behavioral sciences.  </w:t>
      </w:r>
      <w:r>
        <w:rPr>
          <w:sz w:val="20"/>
          <w:szCs w:val="20"/>
        </w:rPr>
        <w:t xml:space="preserve">The curriculum for the MPH degree is competency-based </w:t>
      </w:r>
      <w:proofErr w:type="gramStart"/>
      <w:r>
        <w:rPr>
          <w:sz w:val="20"/>
          <w:szCs w:val="20"/>
        </w:rPr>
        <w:t>i</w:t>
      </w:r>
      <w:r>
        <w:rPr>
          <w:color w:val="000000"/>
          <w:sz w:val="20"/>
          <w:szCs w:val="20"/>
        </w:rPr>
        <w:t>n order to</w:t>
      </w:r>
      <w:proofErr w:type="gramEnd"/>
      <w:r>
        <w:rPr>
          <w:color w:val="000000"/>
          <w:sz w:val="20"/>
          <w:szCs w:val="20"/>
        </w:rPr>
        <w:t xml:space="preserve"> comply with current national efforts to improve the quality and accountability of public health training programs. The curriculum for MPH degree ensures that students attain mastery of the 22 CEPH identified Foundational Competencies which are informed by the core competency areas noted above and which fall under the following competency domains:  Evidence-based approaches to Public Health, Public Health and Health Care Systems, Planning and Management to Promote Health, Policy in Public Health, Leadership, Communication, Interprofessional Practice, and Systems Thinking. The MPH Epidemiology &amp; Biostatistics, Health Policy and Management, and Community Health concentration areas are also informed by concentration specific competencies identified by the Program which enhance or expand on the Foundational Competencies</w:t>
      </w:r>
    </w:p>
    <w:p w14:paraId="24EFDDC6" w14:textId="77777777" w:rsidR="00D81755" w:rsidRDefault="00D81755">
      <w:pPr>
        <w:jc w:val="both"/>
        <w:rPr>
          <w:sz w:val="20"/>
          <w:szCs w:val="20"/>
        </w:rPr>
      </w:pPr>
    </w:p>
    <w:p w14:paraId="24EFDDC7" w14:textId="77777777" w:rsidR="00D81755" w:rsidRDefault="0073296A">
      <w:pPr>
        <w:rPr>
          <w:color w:val="000000"/>
          <w:sz w:val="20"/>
          <w:szCs w:val="20"/>
        </w:rPr>
      </w:pPr>
      <w:r>
        <w:rPr>
          <w:sz w:val="20"/>
          <w:szCs w:val="20"/>
        </w:rPr>
        <w:t xml:space="preserve">All students are assessed at least once, on each CEPH-defined foundational competency. In addition, </w:t>
      </w:r>
      <w:r>
        <w:rPr>
          <w:color w:val="000000"/>
          <w:sz w:val="20"/>
          <w:szCs w:val="20"/>
        </w:rPr>
        <w:t xml:space="preserve">the Program’s success in training students to be able to demonstrate the competencies achieved is also measured before and after completion of the Program (Orientation and Graduation Competency Assessments), as well as at the beginning and end of each academic year.  A table with the complete list of MPH Foundational and Concentration Competencies is on the PPH website at </w:t>
      </w:r>
      <w:hyperlink r:id="rId19">
        <w:r>
          <w:rPr>
            <w:color w:val="0000FF"/>
            <w:sz w:val="20"/>
            <w:szCs w:val="20"/>
            <w:u w:val="single"/>
          </w:rPr>
          <w:t>https://publichealth.stonybrookmedicine.edu/academics/competencies</w:t>
        </w:r>
      </w:hyperlink>
      <w:r>
        <w:rPr>
          <w:color w:val="000000"/>
          <w:sz w:val="20"/>
          <w:szCs w:val="20"/>
        </w:rPr>
        <w:t xml:space="preserve">.  </w:t>
      </w:r>
    </w:p>
    <w:p w14:paraId="24EFDDC8" w14:textId="77777777" w:rsidR="00D81755" w:rsidRDefault="00D81755">
      <w:pPr>
        <w:rPr>
          <w:b/>
          <w:bCs/>
          <w:sz w:val="20"/>
          <w:szCs w:val="20"/>
        </w:rPr>
      </w:pPr>
    </w:p>
    <w:p w14:paraId="24EFDDC9" w14:textId="77777777" w:rsidR="00D81755" w:rsidRDefault="0073296A">
      <w:pPr>
        <w:jc w:val="both"/>
        <w:rPr>
          <w:b/>
          <w:bCs/>
          <w:sz w:val="20"/>
          <w:szCs w:val="20"/>
        </w:rPr>
      </w:pPr>
      <w:r>
        <w:rPr>
          <w:sz w:val="20"/>
          <w:szCs w:val="20"/>
        </w:rPr>
        <w:t>The PPH reserves the right to approve alternate courses that meet core and concentration competency requirements.  Approval for such courses is at the discretion of the MPH Director in consultation with the PPH Curriculum Committee and/or concentration heads.</w:t>
      </w:r>
    </w:p>
    <w:p w14:paraId="24EFDDCA" w14:textId="66851CF7" w:rsidR="00D81755" w:rsidRDefault="0073296A">
      <w:pPr>
        <w:spacing w:before="160" w:after="160"/>
        <w:rPr>
          <w:b/>
          <w:bCs/>
        </w:rPr>
      </w:pPr>
      <w:hyperlink r:id="rId20" w:history="1">
        <w:r w:rsidRPr="003761FB">
          <w:rPr>
            <w:rStyle w:val="Hyperlink"/>
            <w:b/>
            <w:bCs/>
            <w:sz w:val="20"/>
            <w:szCs w:val="20"/>
          </w:rPr>
          <w:t>Curriculum Overview:</w:t>
        </w:r>
      </w:hyperlink>
      <w:r>
        <w:rPr>
          <w:b/>
          <w:bCs/>
          <w:sz w:val="20"/>
          <w:szCs w:val="20"/>
        </w:rPr>
        <w:t xml:space="preserve"> </w:t>
      </w:r>
    </w:p>
    <w:p w14:paraId="24EFDDCB" w14:textId="77777777" w:rsidR="00D81755" w:rsidRDefault="0073296A">
      <w:pPr>
        <w:pStyle w:val="Heading2"/>
      </w:pPr>
      <w:bookmarkStart w:id="18" w:name="_heading=h.ikhncwqyx7eo" w:colFirst="0" w:colLast="0"/>
      <w:bookmarkEnd w:id="18"/>
      <w:r>
        <w:t xml:space="preserve">MPH COMPETENCY ASSESSMENT </w:t>
      </w:r>
    </w:p>
    <w:p w14:paraId="24EFDDCC" w14:textId="77777777" w:rsidR="00D81755" w:rsidRDefault="0073296A">
      <w:pPr>
        <w:rPr>
          <w:color w:val="000000"/>
          <w:sz w:val="20"/>
          <w:szCs w:val="20"/>
        </w:rPr>
      </w:pPr>
      <w:r>
        <w:rPr>
          <w:color w:val="000000"/>
          <w:sz w:val="20"/>
          <w:szCs w:val="20"/>
        </w:rPr>
        <w:t>Each course in the MPH aims to develop specific Competencies among students through a set of Learning Objectives. </w:t>
      </w:r>
      <w:r>
        <w:rPr>
          <w:color w:val="000000"/>
          <w:sz w:val="20"/>
          <w:szCs w:val="20"/>
        </w:rPr>
        <w:br/>
      </w:r>
      <w:proofErr w:type="gramStart"/>
      <w:r>
        <w:rPr>
          <w:color w:val="000000"/>
          <w:sz w:val="20"/>
          <w:szCs w:val="20"/>
        </w:rPr>
        <w:t>In order to</w:t>
      </w:r>
      <w:proofErr w:type="gramEnd"/>
      <w:r>
        <w:rPr>
          <w:color w:val="000000"/>
          <w:sz w:val="20"/>
          <w:szCs w:val="20"/>
        </w:rPr>
        <w:t xml:space="preserve"> assess how well we are conveying these Competencies, we require students to complete Competency Assessment surveys at various points across the curriculum.  Students are assessed on their competency development by other stakeholders (faculty, preceptors, mentors, employers, etc.) periodically as well.  All information from the Competency Assessment surveys is kept strictly confidential and is not, in any way, used to evaluate a student's academic progress in pursuit of </w:t>
      </w:r>
      <w:proofErr w:type="gramStart"/>
      <w:r>
        <w:rPr>
          <w:color w:val="000000"/>
          <w:sz w:val="20"/>
          <w:szCs w:val="20"/>
        </w:rPr>
        <w:t>the</w:t>
      </w:r>
      <w:proofErr w:type="gramEnd"/>
      <w:r>
        <w:rPr>
          <w:color w:val="000000"/>
          <w:sz w:val="20"/>
          <w:szCs w:val="20"/>
        </w:rPr>
        <w:t xml:space="preserve"> degree. This information is analyzed only for the purpose of improving the MPH program and to inform our accrediting body, the Council of Education for Public Health (CEPH), of our progress. The PPH reserves the right to withhold grades or prevent subsequent course registration for students who do not complete assessment surveys.</w:t>
      </w:r>
    </w:p>
    <w:p w14:paraId="24EFDDCD" w14:textId="77777777" w:rsidR="00D81755" w:rsidRDefault="00D81755">
      <w:pPr>
        <w:rPr>
          <w:color w:val="000000"/>
          <w:sz w:val="20"/>
          <w:szCs w:val="20"/>
        </w:rPr>
      </w:pPr>
    </w:p>
    <w:p w14:paraId="24EFDDCE" w14:textId="77777777" w:rsidR="00D81755" w:rsidRDefault="0073296A">
      <w:pPr>
        <w:pStyle w:val="Heading2"/>
        <w:spacing w:before="0"/>
      </w:pPr>
      <w:bookmarkStart w:id="19" w:name="_heading=h.uye9ch83n45" w:colFirst="0" w:colLast="0"/>
      <w:bookmarkEnd w:id="19"/>
      <w:r>
        <w:t xml:space="preserve">MPH ADVISING POLICY </w:t>
      </w:r>
    </w:p>
    <w:p w14:paraId="24EFDDCF" w14:textId="77777777" w:rsidR="00D81755" w:rsidRDefault="0073296A">
      <w:pPr>
        <w:jc w:val="both"/>
      </w:pPr>
      <w:r>
        <w:rPr>
          <w:sz w:val="20"/>
          <w:szCs w:val="20"/>
        </w:rPr>
        <w:t xml:space="preserve">Every student has access to and is encouraged to participate in both (a) academic advising and (b) career advising. For academic advising, each student is encouraged to review their plan of study and coursework registration/selection at least once a year with the Associate Director for Student and Academic Affairs, the Graduate Program Coordinator, or another trained member of the professional staff.  For career advising, every student is assigned a Faculty Advisor upon matriculation into the program or within the first semester. Whenever possible, for MPH students, the advisor will be a faculty member in the student’s concentration: Climate Solutions and Health, Community Health, Epidemiology and Biostatistics, or Health Policy and Management.  The student may change advisors at any time with the engagement of Associate Director for Student and Academic Affairs or the appropriate Program Director.  In addition, students who change their MPH concentration will be assigned or may select a Faculty Advisor in the new concentration. </w:t>
      </w:r>
      <w:r>
        <w:t xml:space="preserve"> </w:t>
      </w:r>
    </w:p>
    <w:p w14:paraId="24EFDDD0" w14:textId="77777777" w:rsidR="00D81755" w:rsidRDefault="0073296A">
      <w:pPr>
        <w:jc w:val="both"/>
        <w:rPr>
          <w:sz w:val="20"/>
          <w:szCs w:val="20"/>
        </w:rPr>
      </w:pPr>
      <w:r>
        <w:rPr>
          <w:sz w:val="20"/>
          <w:szCs w:val="20"/>
        </w:rPr>
        <w:t xml:space="preserve"> </w:t>
      </w:r>
    </w:p>
    <w:p w14:paraId="24EFDDD1" w14:textId="77777777" w:rsidR="00D81755" w:rsidRDefault="0073296A">
      <w:pPr>
        <w:jc w:val="both"/>
        <w:rPr>
          <w:sz w:val="20"/>
          <w:szCs w:val="20"/>
        </w:rPr>
      </w:pPr>
      <w:r>
        <w:rPr>
          <w:sz w:val="20"/>
          <w:szCs w:val="20"/>
        </w:rPr>
        <w:lastRenderedPageBreak/>
        <w:t xml:space="preserve">Faculty Advisors meet with their advisees to discuss students’ progress through the program, assess academic growth, and provide guidance with independent study and Practicum/Integrative Experience projects. The Faculty Advisor also discusses the students’ expectations for the future and acts as a touchstone if the student is having problems. </w:t>
      </w:r>
    </w:p>
    <w:p w14:paraId="24EFDDD2" w14:textId="77777777" w:rsidR="00D81755" w:rsidRDefault="00D81755">
      <w:pPr>
        <w:jc w:val="both"/>
        <w:rPr>
          <w:sz w:val="20"/>
          <w:szCs w:val="20"/>
        </w:rPr>
      </w:pPr>
    </w:p>
    <w:p w14:paraId="24EFDDD3" w14:textId="77777777" w:rsidR="00D81755" w:rsidRDefault="0073296A">
      <w:pPr>
        <w:jc w:val="both"/>
        <w:rPr>
          <w:sz w:val="20"/>
          <w:szCs w:val="20"/>
        </w:rPr>
      </w:pPr>
      <w:r>
        <w:rPr>
          <w:sz w:val="20"/>
          <w:szCs w:val="20"/>
        </w:rPr>
        <w:t xml:space="preserve">Students are required to meet with their Faculty Advisor twice a year, typically at the end of the Fall and Spring semesters and can be conducted in person or by phone, whichever is preferred by both the student and Faculty Advisor.  </w:t>
      </w:r>
    </w:p>
    <w:p w14:paraId="24EFDDD4" w14:textId="77777777" w:rsidR="00D81755" w:rsidRDefault="00D81755">
      <w:pPr>
        <w:jc w:val="both"/>
        <w:rPr>
          <w:sz w:val="20"/>
          <w:szCs w:val="20"/>
        </w:rPr>
      </w:pPr>
    </w:p>
    <w:p w14:paraId="24EFDDD5" w14:textId="77777777" w:rsidR="00D81755" w:rsidRDefault="0073296A">
      <w:pPr>
        <w:jc w:val="both"/>
        <w:rPr>
          <w:sz w:val="20"/>
          <w:szCs w:val="20"/>
        </w:rPr>
      </w:pPr>
      <w:r>
        <w:rPr>
          <w:sz w:val="20"/>
          <w:szCs w:val="20"/>
        </w:rPr>
        <w:t xml:space="preserve">Students are contacted by the Program to schedule Advisor appointments with their Faculty Advisor and Academic Advisor throughout the year. Students may request appointments with their Faculty Advisor or Academic Advisor at any time.  </w:t>
      </w:r>
    </w:p>
    <w:p w14:paraId="24EFDDD6" w14:textId="77777777" w:rsidR="00D81755" w:rsidRDefault="00D81755">
      <w:pPr>
        <w:rPr>
          <w:color w:val="000000"/>
          <w:sz w:val="20"/>
          <w:szCs w:val="20"/>
        </w:rPr>
      </w:pPr>
    </w:p>
    <w:p w14:paraId="24EFDDD7" w14:textId="77777777" w:rsidR="00D81755" w:rsidRDefault="0073296A">
      <w:pPr>
        <w:pStyle w:val="Heading2"/>
      </w:pPr>
      <w:bookmarkStart w:id="20" w:name="_heading=h.hzf4obbqw0oi" w:colFirst="0" w:colLast="0"/>
      <w:bookmarkEnd w:id="20"/>
      <w:r>
        <w:t xml:space="preserve">ADMISSION TO THE MPH DEGREE PROGRAM </w:t>
      </w:r>
    </w:p>
    <w:p w14:paraId="24EFDDD8" w14:textId="77777777" w:rsidR="00D81755" w:rsidRDefault="0073296A">
      <w:pPr>
        <w:jc w:val="both"/>
        <w:rPr>
          <w:color w:val="000000"/>
          <w:sz w:val="20"/>
          <w:szCs w:val="20"/>
        </w:rPr>
      </w:pPr>
      <w:r>
        <w:rPr>
          <w:color w:val="000000"/>
          <w:sz w:val="20"/>
          <w:szCs w:val="20"/>
        </w:rPr>
        <w:t>Although admission requirements are rigorous, the PPH aims to develop camaraderie, cooperation, and cohesiveness among students in each cohort. For this reason, admission to the MPH degree program is during the Fall semester only.</w:t>
      </w:r>
      <w:r>
        <w:rPr>
          <w:sz w:val="20"/>
          <w:szCs w:val="20"/>
        </w:rPr>
        <w:t xml:space="preserve"> </w:t>
      </w:r>
    </w:p>
    <w:p w14:paraId="24EFDDD9" w14:textId="77777777" w:rsidR="00D81755" w:rsidRDefault="00D81755">
      <w:pPr>
        <w:jc w:val="both"/>
        <w:rPr>
          <w:color w:val="000000"/>
          <w:sz w:val="20"/>
          <w:szCs w:val="20"/>
        </w:rPr>
      </w:pPr>
    </w:p>
    <w:p w14:paraId="24EFDDDA" w14:textId="77777777" w:rsidR="00D81755" w:rsidRDefault="0073296A">
      <w:pPr>
        <w:jc w:val="both"/>
        <w:rPr>
          <w:color w:val="000000"/>
          <w:sz w:val="20"/>
          <w:szCs w:val="20"/>
        </w:rPr>
      </w:pPr>
      <w:r>
        <w:rPr>
          <w:color w:val="000000"/>
          <w:sz w:val="20"/>
          <w:szCs w:val="20"/>
        </w:rPr>
        <w:t xml:space="preserve">We are from different socioeconomic, educational, racial, and ethnic backgrounds who can provide special contributions to the field of public health, health management and the Program. Admission processes consider the potential contribution of each MPH applicant to the student body and the public health or health management field. Applicants are evaluated on academic achievement, leadership potential, professional accomplishment, and personal attributes. Excellent written and oral communication skills are expected. Fluency in more than one language is not required for admission, but it is becoming increasingly desirable for the practice of public health and health administration. </w:t>
      </w:r>
    </w:p>
    <w:p w14:paraId="24EFDDDB" w14:textId="77777777" w:rsidR="00D81755" w:rsidRDefault="00D81755">
      <w:pPr>
        <w:jc w:val="both"/>
        <w:rPr>
          <w:b/>
          <w:bCs/>
          <w:color w:val="000000"/>
          <w:sz w:val="20"/>
          <w:szCs w:val="20"/>
        </w:rPr>
      </w:pPr>
    </w:p>
    <w:p w14:paraId="24EFDDDC" w14:textId="77777777" w:rsidR="00D81755" w:rsidRDefault="0073296A">
      <w:pPr>
        <w:jc w:val="both"/>
        <w:rPr>
          <w:color w:val="000000"/>
          <w:sz w:val="20"/>
          <w:szCs w:val="20"/>
        </w:rPr>
      </w:pPr>
      <w:r>
        <w:rPr>
          <w:color w:val="000000"/>
          <w:sz w:val="20"/>
          <w:szCs w:val="20"/>
        </w:rPr>
        <w:t xml:space="preserve">The PPH reserves the right to limit MPH class size </w:t>
      </w:r>
      <w:proofErr w:type="gramStart"/>
      <w:r>
        <w:rPr>
          <w:color w:val="000000"/>
          <w:sz w:val="20"/>
          <w:szCs w:val="20"/>
        </w:rPr>
        <w:t>in order to</w:t>
      </w:r>
      <w:proofErr w:type="gramEnd"/>
      <w:r>
        <w:rPr>
          <w:color w:val="000000"/>
          <w:sz w:val="20"/>
          <w:szCs w:val="20"/>
        </w:rPr>
        <w:t xml:space="preserve"> maintain a faculty/student ratio that ensures a high-quality academic program. Therefore, admission to the MPH programs is highly selective, and all qualified applicants may not be accepted.</w:t>
      </w:r>
    </w:p>
    <w:p w14:paraId="24EFDDDD" w14:textId="77777777" w:rsidR="00D81755" w:rsidRDefault="00D81755">
      <w:pPr>
        <w:jc w:val="both"/>
        <w:rPr>
          <w:sz w:val="20"/>
          <w:szCs w:val="20"/>
        </w:rPr>
      </w:pPr>
    </w:p>
    <w:p w14:paraId="24EFDDDE" w14:textId="77777777" w:rsidR="00D81755" w:rsidRDefault="0073296A">
      <w:pPr>
        <w:jc w:val="both"/>
        <w:rPr>
          <w:sz w:val="20"/>
          <w:szCs w:val="20"/>
        </w:rPr>
      </w:pPr>
      <w:r>
        <w:rPr>
          <w:sz w:val="20"/>
          <w:szCs w:val="20"/>
        </w:rPr>
        <w:t>The degree programs are open to students from all academic disciplines. MPH students can select from one of three concentrations</w:t>
      </w:r>
      <w:proofErr w:type="gramStart"/>
      <w:r>
        <w:rPr>
          <w:sz w:val="20"/>
          <w:szCs w:val="20"/>
        </w:rPr>
        <w:t>:  Community</w:t>
      </w:r>
      <w:proofErr w:type="gramEnd"/>
      <w:r>
        <w:rPr>
          <w:sz w:val="20"/>
          <w:szCs w:val="20"/>
        </w:rPr>
        <w:t xml:space="preserve"> Health, Epidemiology &amp; Biostatistics, and Health Policy and Management. A Generalist concentration is also available to a select group of students (primarily clinicians and clinical students).</w:t>
      </w:r>
    </w:p>
    <w:p w14:paraId="24EFDDDF" w14:textId="77777777" w:rsidR="00D81755" w:rsidRDefault="00D81755">
      <w:pPr>
        <w:jc w:val="both"/>
        <w:rPr>
          <w:sz w:val="20"/>
          <w:szCs w:val="20"/>
        </w:rPr>
      </w:pPr>
    </w:p>
    <w:p w14:paraId="24EFDDE0" w14:textId="77777777" w:rsidR="00D81755" w:rsidRDefault="0073296A">
      <w:pPr>
        <w:jc w:val="both"/>
        <w:rPr>
          <w:sz w:val="20"/>
          <w:szCs w:val="20"/>
        </w:rPr>
      </w:pPr>
      <w:r>
        <w:rPr>
          <w:sz w:val="20"/>
          <w:szCs w:val="20"/>
        </w:rPr>
        <w:t xml:space="preserve">The admission requirements for the MPH Programs are: </w:t>
      </w:r>
    </w:p>
    <w:p w14:paraId="24EFDDE1" w14:textId="77777777" w:rsidR="00D81755" w:rsidRDefault="0073296A">
      <w:pPr>
        <w:numPr>
          <w:ilvl w:val="0"/>
          <w:numId w:val="12"/>
        </w:numPr>
        <w:jc w:val="both"/>
        <w:rPr>
          <w:sz w:val="20"/>
          <w:szCs w:val="20"/>
        </w:rPr>
      </w:pPr>
      <w:r>
        <w:rPr>
          <w:sz w:val="20"/>
          <w:szCs w:val="20"/>
        </w:rPr>
        <w:t xml:space="preserve">Bachelor's degree from an accredited college or university with a 3.0 GPA or better. Admitted students usually have GPAs that are higher than 3.0.  The major must have an equivalent at the State University of New York (SUNY).  </w:t>
      </w:r>
    </w:p>
    <w:p w14:paraId="24EFDDE2" w14:textId="77777777" w:rsidR="00D81755" w:rsidRDefault="0073296A">
      <w:pPr>
        <w:numPr>
          <w:ilvl w:val="0"/>
          <w:numId w:val="12"/>
        </w:numPr>
        <w:jc w:val="both"/>
        <w:rPr>
          <w:sz w:val="20"/>
          <w:szCs w:val="20"/>
        </w:rPr>
      </w:pPr>
      <w:r>
        <w:rPr>
          <w:sz w:val="20"/>
          <w:szCs w:val="20"/>
        </w:rPr>
        <w:t>Official transcripts from all post-secondary schools. Transcripts for all degrees earned in schools outside the U.S. or Canada must be evaluated by an agency accredited by the National Association of Credential Evaluation Services.  See section on International Students for more information about this process.  The requirement for evaluation of transcripts is waived for graduates of foreign medical schools with a current license to practice in the U.S.</w:t>
      </w:r>
    </w:p>
    <w:p w14:paraId="24EFDDE3" w14:textId="77777777" w:rsidR="00D81755" w:rsidRDefault="0073296A">
      <w:pPr>
        <w:numPr>
          <w:ilvl w:val="0"/>
          <w:numId w:val="12"/>
        </w:numPr>
        <w:jc w:val="both"/>
        <w:rPr>
          <w:sz w:val="20"/>
          <w:szCs w:val="20"/>
        </w:rPr>
      </w:pPr>
      <w:r>
        <w:rPr>
          <w:sz w:val="20"/>
          <w:szCs w:val="20"/>
        </w:rPr>
        <w:t xml:space="preserve">Three references from </w:t>
      </w:r>
      <w:proofErr w:type="gramStart"/>
      <w:r>
        <w:rPr>
          <w:sz w:val="20"/>
          <w:szCs w:val="20"/>
        </w:rPr>
        <w:t>persons</w:t>
      </w:r>
      <w:proofErr w:type="gramEnd"/>
      <w:r>
        <w:rPr>
          <w:sz w:val="20"/>
          <w:szCs w:val="20"/>
        </w:rPr>
        <w:t xml:space="preserve"> who can address the applicant's capacity to provide leadership in public health and/or health management and complete a course of graduate study.  If the applicant is a student or has graduated within the last two years, at least one letter must be from a college or university faculty member with whom the applicant has studied.  If the applicant is a member of the public health workforce, at least one letter must be from a senior administrator in the organization who is familiar with his/her work.</w:t>
      </w:r>
    </w:p>
    <w:p w14:paraId="24EFDDE4" w14:textId="77777777" w:rsidR="00D81755" w:rsidRDefault="0073296A">
      <w:pPr>
        <w:numPr>
          <w:ilvl w:val="0"/>
          <w:numId w:val="12"/>
        </w:numPr>
        <w:jc w:val="both"/>
        <w:rPr>
          <w:sz w:val="20"/>
          <w:szCs w:val="20"/>
        </w:rPr>
      </w:pPr>
      <w:r>
        <w:rPr>
          <w:sz w:val="20"/>
          <w:szCs w:val="20"/>
        </w:rPr>
        <w:t>One essay, no more than 500 words</w:t>
      </w:r>
      <w:r>
        <w:rPr>
          <w:i/>
          <w:iCs/>
          <w:sz w:val="20"/>
          <w:szCs w:val="20"/>
        </w:rPr>
        <w:t>.  Topic provided.</w:t>
      </w:r>
    </w:p>
    <w:p w14:paraId="24EFDDE5" w14:textId="77777777" w:rsidR="00D81755" w:rsidRDefault="0073296A">
      <w:pPr>
        <w:numPr>
          <w:ilvl w:val="0"/>
          <w:numId w:val="12"/>
        </w:numPr>
        <w:jc w:val="both"/>
        <w:rPr>
          <w:sz w:val="20"/>
          <w:szCs w:val="20"/>
        </w:rPr>
      </w:pPr>
      <w:r>
        <w:rPr>
          <w:sz w:val="20"/>
          <w:szCs w:val="20"/>
        </w:rPr>
        <w:t>Completion of the online application, SOPHAS or HAMPCAS, by the deadline of each admission cycle.</w:t>
      </w:r>
    </w:p>
    <w:p w14:paraId="24EFDDE6" w14:textId="77777777" w:rsidR="00D81755" w:rsidRDefault="0073296A">
      <w:pPr>
        <w:numPr>
          <w:ilvl w:val="0"/>
          <w:numId w:val="12"/>
        </w:numPr>
        <w:jc w:val="both"/>
        <w:rPr>
          <w:sz w:val="20"/>
          <w:szCs w:val="20"/>
        </w:rPr>
      </w:pPr>
      <w:r>
        <w:rPr>
          <w:sz w:val="20"/>
          <w:szCs w:val="20"/>
        </w:rPr>
        <w:t xml:space="preserve">A personal interview, if requested by the Admissions Committee. </w:t>
      </w:r>
    </w:p>
    <w:p w14:paraId="24EFDDE7" w14:textId="77777777" w:rsidR="00D81755" w:rsidRDefault="0073296A">
      <w:pPr>
        <w:numPr>
          <w:ilvl w:val="0"/>
          <w:numId w:val="12"/>
        </w:numPr>
        <w:jc w:val="both"/>
        <w:rPr>
          <w:sz w:val="20"/>
          <w:szCs w:val="20"/>
        </w:rPr>
      </w:pPr>
      <w:proofErr w:type="gramStart"/>
      <w:r>
        <w:rPr>
          <w:sz w:val="20"/>
          <w:szCs w:val="20"/>
        </w:rPr>
        <w:t>Any</w:t>
      </w:r>
      <w:proofErr w:type="gramEnd"/>
      <w:r>
        <w:rPr>
          <w:sz w:val="20"/>
          <w:szCs w:val="20"/>
        </w:rPr>
        <w:t xml:space="preserve"> other requirements of the Graduate School </w:t>
      </w:r>
      <w:proofErr w:type="gramStart"/>
      <w:r>
        <w:rPr>
          <w:sz w:val="20"/>
          <w:szCs w:val="20"/>
        </w:rPr>
        <w:t>not</w:t>
      </w:r>
      <w:proofErr w:type="gramEnd"/>
      <w:r>
        <w:rPr>
          <w:sz w:val="20"/>
          <w:szCs w:val="20"/>
        </w:rPr>
        <w:t xml:space="preserve"> stated here. </w:t>
      </w:r>
    </w:p>
    <w:p w14:paraId="24EFDDE8" w14:textId="77777777" w:rsidR="00D81755" w:rsidRDefault="00D81755">
      <w:pPr>
        <w:jc w:val="both"/>
        <w:rPr>
          <w:sz w:val="20"/>
          <w:szCs w:val="20"/>
        </w:rPr>
      </w:pPr>
    </w:p>
    <w:p w14:paraId="24EFDDE9" w14:textId="77777777" w:rsidR="00D81755" w:rsidRDefault="0073296A">
      <w:pPr>
        <w:jc w:val="both"/>
        <w:rPr>
          <w:sz w:val="20"/>
          <w:szCs w:val="20"/>
        </w:rPr>
      </w:pPr>
      <w:r>
        <w:rPr>
          <w:sz w:val="20"/>
          <w:szCs w:val="20"/>
        </w:rPr>
        <w:t>Note: See individual program websites for additional information regarding quantitative skills.</w:t>
      </w:r>
    </w:p>
    <w:p w14:paraId="24EFDDEA" w14:textId="77777777" w:rsidR="00D81755" w:rsidRDefault="00D81755">
      <w:pPr>
        <w:jc w:val="both"/>
        <w:rPr>
          <w:sz w:val="20"/>
          <w:szCs w:val="20"/>
        </w:rPr>
      </w:pPr>
    </w:p>
    <w:p w14:paraId="24EFDDEB" w14:textId="77777777" w:rsidR="00D81755" w:rsidRDefault="0073296A">
      <w:pPr>
        <w:jc w:val="both"/>
        <w:rPr>
          <w:sz w:val="20"/>
          <w:szCs w:val="20"/>
        </w:rPr>
      </w:pPr>
      <w:r>
        <w:rPr>
          <w:sz w:val="20"/>
          <w:szCs w:val="20"/>
        </w:rPr>
        <w:t xml:space="preserve">Note: This program requires </w:t>
      </w:r>
      <w:proofErr w:type="gramStart"/>
      <w:r>
        <w:rPr>
          <w:sz w:val="20"/>
          <w:szCs w:val="20"/>
        </w:rPr>
        <w:t>a field</w:t>
      </w:r>
      <w:proofErr w:type="gramEnd"/>
      <w:r>
        <w:rPr>
          <w:sz w:val="20"/>
          <w:szCs w:val="20"/>
        </w:rPr>
        <w:t xml:space="preserve"> experience for degree completion. Students previously convicted of a felony are advised that their prior criminal history may impede their ability to participate in specific placements. If applicants have concerns about this </w:t>
      </w:r>
      <w:proofErr w:type="gramStart"/>
      <w:r>
        <w:rPr>
          <w:sz w:val="20"/>
          <w:szCs w:val="20"/>
        </w:rPr>
        <w:t>matter</w:t>
      </w:r>
      <w:proofErr w:type="gramEnd"/>
      <w:r>
        <w:rPr>
          <w:sz w:val="20"/>
          <w:szCs w:val="20"/>
        </w:rPr>
        <w:t xml:space="preserve"> please contact the Program in Public Health office.</w:t>
      </w:r>
    </w:p>
    <w:p w14:paraId="24EFDDEC" w14:textId="77777777" w:rsidR="00D81755" w:rsidRDefault="00D81755">
      <w:pPr>
        <w:jc w:val="both"/>
        <w:rPr>
          <w:b/>
          <w:bCs/>
          <w:i/>
          <w:iCs/>
          <w:sz w:val="20"/>
          <w:szCs w:val="20"/>
        </w:rPr>
      </w:pPr>
    </w:p>
    <w:p w14:paraId="24EFDDED" w14:textId="77777777" w:rsidR="00D81755" w:rsidRDefault="0073296A">
      <w:pPr>
        <w:jc w:val="both"/>
        <w:rPr>
          <w:b/>
          <w:bCs/>
          <w:i/>
          <w:iCs/>
          <w:sz w:val="20"/>
          <w:szCs w:val="20"/>
        </w:rPr>
      </w:pPr>
      <w:r>
        <w:rPr>
          <w:b/>
          <w:bCs/>
          <w:i/>
          <w:iCs/>
          <w:sz w:val="20"/>
          <w:szCs w:val="20"/>
        </w:rPr>
        <w:t>For international students:</w:t>
      </w:r>
    </w:p>
    <w:p w14:paraId="24EFDDEE" w14:textId="77777777" w:rsidR="00D81755" w:rsidRDefault="0073296A">
      <w:pPr>
        <w:numPr>
          <w:ilvl w:val="0"/>
          <w:numId w:val="4"/>
        </w:numPr>
        <w:jc w:val="both"/>
        <w:rPr>
          <w:sz w:val="20"/>
          <w:szCs w:val="20"/>
        </w:rPr>
      </w:pPr>
      <w:r>
        <w:rPr>
          <w:sz w:val="20"/>
          <w:szCs w:val="20"/>
        </w:rPr>
        <w:t xml:space="preserve">International students who trained in non-English speaking schools and do not reside in an English-speaking country are required to take the TOEFL exam. The expected minimum score is 213 for the </w:t>
      </w:r>
      <w:proofErr w:type="gramStart"/>
      <w:r>
        <w:rPr>
          <w:sz w:val="20"/>
          <w:szCs w:val="20"/>
        </w:rPr>
        <w:t>Computer</w:t>
      </w:r>
      <w:proofErr w:type="gramEnd"/>
      <w:r>
        <w:rPr>
          <w:sz w:val="20"/>
          <w:szCs w:val="20"/>
        </w:rPr>
        <w:t xml:space="preserve">-Based Test, 90 for the Internet-Based Test, and 550 for the Paper-Based Test. In addition to the minimum score of 90 on the internet-based exam, each subsection score must be at least </w:t>
      </w:r>
      <w:proofErr w:type="gramStart"/>
      <w:r>
        <w:rPr>
          <w:sz w:val="20"/>
          <w:szCs w:val="20"/>
        </w:rPr>
        <w:t>a 22</w:t>
      </w:r>
      <w:proofErr w:type="gramEnd"/>
      <w:r>
        <w:rPr>
          <w:sz w:val="20"/>
          <w:szCs w:val="20"/>
        </w:rPr>
        <w:t xml:space="preserve">. </w:t>
      </w:r>
    </w:p>
    <w:p w14:paraId="24EFDDEF" w14:textId="77777777" w:rsidR="00D81755" w:rsidRDefault="0073296A">
      <w:pPr>
        <w:numPr>
          <w:ilvl w:val="0"/>
          <w:numId w:val="4"/>
        </w:numPr>
        <w:rPr>
          <w:sz w:val="20"/>
          <w:szCs w:val="20"/>
        </w:rPr>
      </w:pPr>
      <w:r>
        <w:rPr>
          <w:sz w:val="20"/>
          <w:szCs w:val="20"/>
        </w:rPr>
        <w:t>International students are required to have a course-by-course educational credential evaluation completed by an agency accredited by the National Association of Credential Evaluation Services (</w:t>
      </w:r>
      <w:hyperlink r:id="rId21">
        <w:r>
          <w:rPr>
            <w:color w:val="000000"/>
            <w:sz w:val="20"/>
            <w:szCs w:val="20"/>
            <w:u w:val="single"/>
          </w:rPr>
          <w:t>http://www.naces.org</w:t>
        </w:r>
      </w:hyperlink>
      <w:r>
        <w:rPr>
          <w:sz w:val="20"/>
          <w:szCs w:val="20"/>
        </w:rPr>
        <w:t xml:space="preserve">).  We require using World </w:t>
      </w:r>
      <w:r>
        <w:rPr>
          <w:sz w:val="20"/>
          <w:szCs w:val="20"/>
        </w:rPr>
        <w:lastRenderedPageBreak/>
        <w:t>Education Services (</w:t>
      </w:r>
      <w:hyperlink r:id="rId22">
        <w:r>
          <w:rPr>
            <w:color w:val="000000"/>
            <w:sz w:val="20"/>
            <w:szCs w:val="20"/>
            <w:u w:val="single"/>
          </w:rPr>
          <w:t>http://www.wes.org</w:t>
        </w:r>
      </w:hyperlink>
      <w:r>
        <w:rPr>
          <w:sz w:val="20"/>
          <w:szCs w:val="20"/>
        </w:rPr>
        <w:t>).  This evaluation provides a U.S. course equivalent including semester hours earned, course content, and corresponding letter grade for all courses listed on the international applicant’s transcript.  This evaluation must be completed before the application is considered.</w:t>
      </w:r>
    </w:p>
    <w:p w14:paraId="24EFDDF0" w14:textId="77777777" w:rsidR="00D81755" w:rsidRDefault="00D81755">
      <w:pPr>
        <w:jc w:val="both"/>
        <w:rPr>
          <w:sz w:val="20"/>
          <w:szCs w:val="20"/>
        </w:rPr>
      </w:pPr>
    </w:p>
    <w:p w14:paraId="24EFDDF1" w14:textId="77777777" w:rsidR="00D81755" w:rsidRDefault="0073296A">
      <w:pPr>
        <w:jc w:val="both"/>
        <w:rPr>
          <w:sz w:val="20"/>
          <w:szCs w:val="20"/>
        </w:rPr>
      </w:pPr>
      <w:r>
        <w:rPr>
          <w:sz w:val="20"/>
          <w:szCs w:val="20"/>
        </w:rPr>
        <w:t>The Admissions Committee considers all factors including grades, standardized test scores, recommendation letters, essay, prior training, and professional experience. It is a goal of the Committee to select applicants who have the academic capability, aptitude, character, personal qualities, and commitment to provide future value to society through leadership and creative contributions to public health.</w:t>
      </w:r>
    </w:p>
    <w:p w14:paraId="24EFDDF2" w14:textId="77777777" w:rsidR="00D81755" w:rsidRDefault="00D81755">
      <w:pPr>
        <w:jc w:val="both"/>
        <w:rPr>
          <w:sz w:val="20"/>
          <w:szCs w:val="20"/>
        </w:rPr>
      </w:pPr>
    </w:p>
    <w:p w14:paraId="24EFDDF3" w14:textId="77777777" w:rsidR="00D81755" w:rsidRDefault="0073296A">
      <w:pPr>
        <w:jc w:val="both"/>
        <w:rPr>
          <w:sz w:val="20"/>
          <w:szCs w:val="20"/>
        </w:rPr>
      </w:pPr>
      <w:r>
        <w:rPr>
          <w:sz w:val="20"/>
          <w:szCs w:val="20"/>
        </w:rPr>
        <w:t xml:space="preserve">The Admissions Committee encourages applications from </w:t>
      </w:r>
      <w:proofErr w:type="gramStart"/>
      <w:r>
        <w:rPr>
          <w:sz w:val="20"/>
          <w:szCs w:val="20"/>
        </w:rPr>
        <w:t>persons</w:t>
      </w:r>
      <w:proofErr w:type="gramEnd"/>
      <w:r>
        <w:rPr>
          <w:sz w:val="20"/>
          <w:szCs w:val="20"/>
        </w:rPr>
        <w:t xml:space="preserve"> in the public health and health administration workforce and weighs their professional experience heavily in its decisions.  </w:t>
      </w:r>
    </w:p>
    <w:p w14:paraId="24EFDDF4" w14:textId="77777777" w:rsidR="00D81755" w:rsidRDefault="0073296A">
      <w:pPr>
        <w:pStyle w:val="Heading2"/>
      </w:pPr>
      <w:bookmarkStart w:id="21" w:name="_heading=h.262enzepivgu" w:colFirst="0" w:colLast="0"/>
      <w:bookmarkEnd w:id="21"/>
      <w:r>
        <w:t>ADMITTED STUDENTS</w:t>
      </w:r>
    </w:p>
    <w:p w14:paraId="24EFDDF5" w14:textId="77777777" w:rsidR="00D81755" w:rsidRDefault="0073296A">
      <w:pPr>
        <w:jc w:val="both"/>
        <w:rPr>
          <w:sz w:val="20"/>
          <w:szCs w:val="20"/>
        </w:rPr>
      </w:pPr>
      <w:r>
        <w:rPr>
          <w:sz w:val="20"/>
          <w:szCs w:val="20"/>
        </w:rPr>
        <w:t>Once admitted, the PPH has the following requirements that must be completed:</w:t>
      </w:r>
    </w:p>
    <w:p w14:paraId="24EFDDF6" w14:textId="77777777" w:rsidR="00D81755" w:rsidRDefault="0073296A">
      <w:pPr>
        <w:numPr>
          <w:ilvl w:val="0"/>
          <w:numId w:val="10"/>
        </w:numPr>
        <w:rPr>
          <w:color w:val="000000"/>
          <w:sz w:val="20"/>
          <w:szCs w:val="20"/>
        </w:rPr>
      </w:pPr>
      <w:r>
        <w:rPr>
          <w:color w:val="000000"/>
          <w:sz w:val="20"/>
          <w:szCs w:val="20"/>
        </w:rPr>
        <w:t>All entering students must complete both the Health Sciences Compliance Training and the online Protection of Human Subjects training before the PPH Orientation. The course is offered by the Collaborative Institutional Training Initiative (CITI).  More information can be found on page 41 of this bulletin.</w:t>
      </w:r>
    </w:p>
    <w:p w14:paraId="24EFDDF7" w14:textId="77777777" w:rsidR="00D81755" w:rsidRDefault="0073296A">
      <w:pPr>
        <w:numPr>
          <w:ilvl w:val="0"/>
          <w:numId w:val="10"/>
        </w:numPr>
        <w:rPr>
          <w:color w:val="000000"/>
          <w:sz w:val="20"/>
          <w:szCs w:val="20"/>
        </w:rPr>
      </w:pPr>
      <w:r>
        <w:rPr>
          <w:color w:val="000000"/>
          <w:sz w:val="20"/>
          <w:szCs w:val="20"/>
        </w:rPr>
        <w:t xml:space="preserve">All entering students must complete </w:t>
      </w:r>
      <w:proofErr w:type="gramStart"/>
      <w:r>
        <w:rPr>
          <w:color w:val="000000"/>
          <w:sz w:val="20"/>
          <w:szCs w:val="20"/>
        </w:rPr>
        <w:t>the online</w:t>
      </w:r>
      <w:proofErr w:type="gramEnd"/>
      <w:r>
        <w:rPr>
          <w:color w:val="000000"/>
          <w:sz w:val="20"/>
          <w:szCs w:val="20"/>
        </w:rPr>
        <w:t xml:space="preserve"> training in Academic Integrity and Avoidance of Plagiarism </w:t>
      </w:r>
      <w:proofErr w:type="spellStart"/>
      <w:proofErr w:type="gramStart"/>
      <w:r>
        <w:rPr>
          <w:sz w:val="20"/>
          <w:szCs w:val="20"/>
        </w:rPr>
        <w:t>before</w:t>
      </w:r>
      <w:r>
        <w:rPr>
          <w:color w:val="000000"/>
          <w:sz w:val="20"/>
          <w:szCs w:val="20"/>
        </w:rPr>
        <w:t>Orientation</w:t>
      </w:r>
      <w:proofErr w:type="spellEnd"/>
      <w:proofErr w:type="gramEnd"/>
    </w:p>
    <w:p w14:paraId="24EFDDF8" w14:textId="77777777" w:rsidR="00D81755" w:rsidRDefault="0073296A">
      <w:pPr>
        <w:numPr>
          <w:ilvl w:val="0"/>
          <w:numId w:val="10"/>
        </w:numPr>
        <w:rPr>
          <w:color w:val="000000"/>
          <w:sz w:val="20"/>
          <w:szCs w:val="20"/>
        </w:rPr>
      </w:pPr>
      <w:r>
        <w:rPr>
          <w:color w:val="000000"/>
          <w:sz w:val="20"/>
          <w:szCs w:val="20"/>
        </w:rPr>
        <w:t>All entering students must complete an initial self-assessment based on their respective programs’ competency model(s).</w:t>
      </w:r>
    </w:p>
    <w:p w14:paraId="24EFDDF9" w14:textId="77777777" w:rsidR="00D81755" w:rsidRDefault="0073296A">
      <w:pPr>
        <w:numPr>
          <w:ilvl w:val="0"/>
          <w:numId w:val="10"/>
        </w:numPr>
        <w:rPr>
          <w:color w:val="000000"/>
          <w:sz w:val="20"/>
          <w:szCs w:val="20"/>
        </w:rPr>
      </w:pPr>
      <w:r>
        <w:rPr>
          <w:color w:val="000000"/>
          <w:sz w:val="20"/>
          <w:szCs w:val="20"/>
        </w:rPr>
        <w:t>All entering students must meet conditions as outlined in the offer of admission. Conditions are either required prior to the start of semester or prior to continuation in the program. Admitted students with questions regarding their conditional offers should speak with the Associate Director for Academic &amp; Student Affairs.</w:t>
      </w:r>
    </w:p>
    <w:p w14:paraId="24EFDDFA" w14:textId="77777777" w:rsidR="00D81755" w:rsidRDefault="00D81755">
      <w:pPr>
        <w:jc w:val="both"/>
        <w:rPr>
          <w:sz w:val="20"/>
          <w:szCs w:val="20"/>
        </w:rPr>
      </w:pPr>
    </w:p>
    <w:p w14:paraId="24EFDDFB" w14:textId="77777777" w:rsidR="00D81755" w:rsidRDefault="0073296A">
      <w:pPr>
        <w:jc w:val="both"/>
        <w:rPr>
          <w:sz w:val="20"/>
          <w:szCs w:val="20"/>
        </w:rPr>
      </w:pPr>
      <w:r>
        <w:rPr>
          <w:sz w:val="20"/>
          <w:szCs w:val="20"/>
        </w:rPr>
        <w:t xml:space="preserve">Also, it is expected that incoming students will be computer literate and email </w:t>
      </w:r>
      <w:proofErr w:type="gramStart"/>
      <w:r>
        <w:rPr>
          <w:sz w:val="20"/>
          <w:szCs w:val="20"/>
        </w:rPr>
        <w:t>capable, and</w:t>
      </w:r>
      <w:proofErr w:type="gramEnd"/>
      <w:r>
        <w:rPr>
          <w:sz w:val="20"/>
          <w:szCs w:val="20"/>
        </w:rPr>
        <w:t xml:space="preserve"> have library skills sufficient for graduate work. For students with deficiencies in these areas, resources are available through the Health Sciences Center Library to acquire or update them.</w:t>
      </w:r>
    </w:p>
    <w:p w14:paraId="24EFDDFC" w14:textId="77777777" w:rsidR="00D81755" w:rsidRDefault="00D81755">
      <w:pPr>
        <w:rPr>
          <w:b/>
          <w:bCs/>
        </w:rPr>
      </w:pPr>
    </w:p>
    <w:p w14:paraId="24EFDDFD" w14:textId="77777777" w:rsidR="00D81755" w:rsidRDefault="0073296A">
      <w:pPr>
        <w:rPr>
          <w:b/>
          <w:bCs/>
        </w:rPr>
      </w:pPr>
      <w:r>
        <w:br w:type="page"/>
      </w:r>
    </w:p>
    <w:p w14:paraId="24EFDDFE" w14:textId="77777777" w:rsidR="00D81755" w:rsidRDefault="0073296A">
      <w:pPr>
        <w:pStyle w:val="Heading1"/>
      </w:pPr>
      <w:bookmarkStart w:id="22" w:name="_heading=h.gm59gobt4m7f" w:colFirst="0" w:colLast="0"/>
      <w:bookmarkEnd w:id="22"/>
      <w:r>
        <w:lastRenderedPageBreak/>
        <w:t>MHA DEGREE PROGRAM</w:t>
      </w:r>
    </w:p>
    <w:p w14:paraId="24EFDDFF" w14:textId="77777777" w:rsidR="00D81755" w:rsidRDefault="00D81755">
      <w:pPr>
        <w:rPr>
          <w:b/>
          <w:bCs/>
          <w:i/>
          <w:iCs/>
        </w:rPr>
      </w:pPr>
    </w:p>
    <w:p w14:paraId="24EFDE00" w14:textId="77777777" w:rsidR="00D81755" w:rsidRDefault="0073296A">
      <w:pPr>
        <w:pStyle w:val="Heading2"/>
      </w:pPr>
      <w:bookmarkStart w:id="23" w:name="_heading=h.fs92avnrhiw8" w:colFirst="0" w:colLast="0"/>
      <w:bookmarkEnd w:id="23"/>
      <w:r>
        <w:t xml:space="preserve">MISSION, VISION, VALUES: </w:t>
      </w:r>
    </w:p>
    <w:p w14:paraId="24EFDE01" w14:textId="77777777" w:rsidR="00D81755" w:rsidRDefault="0073296A">
      <w:pPr>
        <w:jc w:val="both"/>
        <w:rPr>
          <w:b/>
          <w:bCs/>
          <w:sz w:val="20"/>
          <w:szCs w:val="20"/>
        </w:rPr>
      </w:pPr>
      <w:r>
        <w:rPr>
          <w:b/>
          <w:bCs/>
          <w:i/>
          <w:iCs/>
          <w:sz w:val="20"/>
          <w:szCs w:val="20"/>
        </w:rPr>
        <w:t>Master of Health Administration</w:t>
      </w:r>
      <w:r>
        <w:rPr>
          <w:b/>
          <w:bCs/>
          <w:sz w:val="20"/>
          <w:szCs w:val="20"/>
        </w:rPr>
        <w:t xml:space="preserve"> Degree Program Mission</w:t>
      </w:r>
    </w:p>
    <w:p w14:paraId="24EFDE02" w14:textId="77777777" w:rsidR="00D81755" w:rsidRDefault="0073296A">
      <w:pPr>
        <w:jc w:val="both"/>
        <w:rPr>
          <w:color w:val="333333"/>
          <w:sz w:val="20"/>
          <w:szCs w:val="20"/>
        </w:rPr>
      </w:pPr>
      <w:r>
        <w:rPr>
          <w:color w:val="333333"/>
          <w:sz w:val="20"/>
          <w:szCs w:val="20"/>
          <w:highlight w:val="white"/>
        </w:rPr>
        <w:t>The</w:t>
      </w:r>
      <w:r>
        <w:rPr>
          <w:b/>
          <w:bCs/>
          <w:color w:val="333333"/>
          <w:sz w:val="20"/>
          <w:szCs w:val="20"/>
          <w:highlight w:val="white"/>
        </w:rPr>
        <w:t xml:space="preserve"> </w:t>
      </w:r>
      <w:r>
        <w:rPr>
          <w:color w:val="333333"/>
          <w:sz w:val="20"/>
          <w:szCs w:val="20"/>
          <w:highlight w:val="white"/>
        </w:rPr>
        <w:t xml:space="preserve">Mission of the MHA Program is to </w:t>
      </w:r>
      <w:r>
        <w:rPr>
          <w:color w:val="333333"/>
          <w:sz w:val="20"/>
          <w:szCs w:val="20"/>
        </w:rPr>
        <w:t xml:space="preserve">prepare students at any career stage to become leaders in the health sector. We provide our students with the knowledge, skills, and competencies needed to lead effectively in today’s complex healthcare environment.  With a strong focus on leadership and population health, we equip graduates to drive innovation through the evolving challenges of caring for the communities that they serve. </w:t>
      </w:r>
    </w:p>
    <w:p w14:paraId="24EFDE03" w14:textId="77777777" w:rsidR="00D81755" w:rsidRDefault="00D81755">
      <w:pPr>
        <w:rPr>
          <w:sz w:val="20"/>
          <w:szCs w:val="20"/>
        </w:rPr>
      </w:pPr>
    </w:p>
    <w:p w14:paraId="24EFDE04" w14:textId="77777777" w:rsidR="00D81755" w:rsidRDefault="0073296A">
      <w:pPr>
        <w:rPr>
          <w:b/>
          <w:bCs/>
          <w:sz w:val="20"/>
          <w:szCs w:val="20"/>
        </w:rPr>
      </w:pPr>
      <w:r>
        <w:rPr>
          <w:b/>
          <w:bCs/>
          <w:i/>
          <w:iCs/>
          <w:sz w:val="20"/>
          <w:szCs w:val="20"/>
        </w:rPr>
        <w:t>Master of Health Administration</w:t>
      </w:r>
      <w:r>
        <w:rPr>
          <w:b/>
          <w:bCs/>
          <w:sz w:val="20"/>
          <w:szCs w:val="20"/>
        </w:rPr>
        <w:t xml:space="preserve"> Degree Program Vision</w:t>
      </w:r>
    </w:p>
    <w:p w14:paraId="24EFDE05" w14:textId="77777777" w:rsidR="00D81755" w:rsidRDefault="0073296A">
      <w:pPr>
        <w:rPr>
          <w:sz w:val="20"/>
          <w:szCs w:val="20"/>
        </w:rPr>
      </w:pPr>
      <w:r>
        <w:rPr>
          <w:color w:val="333333"/>
          <w:sz w:val="20"/>
          <w:szCs w:val="20"/>
          <w:highlight w:val="white"/>
        </w:rPr>
        <w:t xml:space="preserve">The Vision of the MHA Program is </w:t>
      </w:r>
      <w:r>
        <w:rPr>
          <w:color w:val="333333"/>
          <w:sz w:val="20"/>
          <w:szCs w:val="20"/>
        </w:rPr>
        <w:t xml:space="preserve">to be the online, asynchronous program of choice for healthcare leaders in pursuit of a society in which all people have equitable access to </w:t>
      </w:r>
      <w:proofErr w:type="gramStart"/>
      <w:r>
        <w:rPr>
          <w:color w:val="333333"/>
          <w:sz w:val="20"/>
          <w:szCs w:val="20"/>
        </w:rPr>
        <w:t>high quality</w:t>
      </w:r>
      <w:proofErr w:type="gramEnd"/>
      <w:r>
        <w:rPr>
          <w:color w:val="333333"/>
          <w:sz w:val="20"/>
          <w:szCs w:val="20"/>
        </w:rPr>
        <w:t xml:space="preserve"> healthcare through high-quality institutions.</w:t>
      </w:r>
      <w:r>
        <w:rPr>
          <w:color w:val="333333"/>
          <w:sz w:val="20"/>
          <w:szCs w:val="20"/>
          <w:highlight w:val="white"/>
        </w:rPr>
        <w:br/>
      </w:r>
    </w:p>
    <w:p w14:paraId="24EFDE06" w14:textId="77777777" w:rsidR="00D81755" w:rsidRDefault="0073296A">
      <w:pPr>
        <w:rPr>
          <w:b/>
          <w:bCs/>
          <w:sz w:val="20"/>
          <w:szCs w:val="20"/>
        </w:rPr>
      </w:pPr>
      <w:r>
        <w:rPr>
          <w:b/>
          <w:bCs/>
          <w:i/>
          <w:iCs/>
          <w:sz w:val="20"/>
          <w:szCs w:val="20"/>
        </w:rPr>
        <w:t>Master of Health Administration</w:t>
      </w:r>
      <w:r>
        <w:rPr>
          <w:b/>
          <w:bCs/>
          <w:sz w:val="20"/>
          <w:szCs w:val="20"/>
        </w:rPr>
        <w:t xml:space="preserve"> Degree Program Values</w:t>
      </w:r>
    </w:p>
    <w:p w14:paraId="24EFDE07" w14:textId="77777777" w:rsidR="00D81755" w:rsidRDefault="0073296A">
      <w:pPr>
        <w:rPr>
          <w:sz w:val="20"/>
          <w:szCs w:val="20"/>
        </w:rPr>
      </w:pPr>
      <w:r>
        <w:rPr>
          <w:sz w:val="20"/>
          <w:szCs w:val="20"/>
        </w:rPr>
        <w:t>The Values of the MHA Program are:</w:t>
      </w:r>
    </w:p>
    <w:p w14:paraId="24EFDE08" w14:textId="77777777" w:rsidR="00D81755" w:rsidRDefault="0073296A">
      <w:pPr>
        <w:ind w:left="720"/>
        <w:rPr>
          <w:color w:val="333333"/>
          <w:sz w:val="20"/>
          <w:szCs w:val="20"/>
          <w:highlight w:val="white"/>
        </w:rPr>
      </w:pPr>
      <w:r>
        <w:rPr>
          <w:color w:val="333333"/>
          <w:sz w:val="20"/>
          <w:szCs w:val="20"/>
          <w:highlight w:val="white"/>
        </w:rPr>
        <w:t>● Lifelong Learning</w:t>
      </w:r>
    </w:p>
    <w:p w14:paraId="24EFDE09" w14:textId="77777777" w:rsidR="00D81755" w:rsidRDefault="0073296A">
      <w:pPr>
        <w:ind w:left="720"/>
        <w:rPr>
          <w:color w:val="333333"/>
          <w:sz w:val="20"/>
          <w:szCs w:val="20"/>
          <w:highlight w:val="white"/>
        </w:rPr>
      </w:pPr>
      <w:r>
        <w:rPr>
          <w:color w:val="333333"/>
          <w:sz w:val="20"/>
          <w:szCs w:val="20"/>
          <w:highlight w:val="white"/>
        </w:rPr>
        <w:t>● Scholarly Excellence</w:t>
      </w:r>
    </w:p>
    <w:p w14:paraId="24EFDE0A" w14:textId="77777777" w:rsidR="00D81755" w:rsidRDefault="0073296A">
      <w:pPr>
        <w:ind w:left="720"/>
        <w:rPr>
          <w:color w:val="333333"/>
          <w:sz w:val="20"/>
          <w:szCs w:val="20"/>
          <w:highlight w:val="white"/>
        </w:rPr>
      </w:pPr>
      <w:r>
        <w:rPr>
          <w:color w:val="333333"/>
          <w:sz w:val="20"/>
          <w:szCs w:val="20"/>
          <w:highlight w:val="white"/>
        </w:rPr>
        <w:t>● Leadership and Professionalism</w:t>
      </w:r>
    </w:p>
    <w:p w14:paraId="24EFDE0B" w14:textId="77777777" w:rsidR="00D81755" w:rsidRDefault="0073296A">
      <w:pPr>
        <w:ind w:left="720"/>
        <w:rPr>
          <w:color w:val="333333"/>
          <w:sz w:val="20"/>
          <w:szCs w:val="20"/>
          <w:highlight w:val="white"/>
        </w:rPr>
      </w:pPr>
      <w:r>
        <w:rPr>
          <w:color w:val="333333"/>
          <w:sz w:val="20"/>
          <w:szCs w:val="20"/>
          <w:highlight w:val="white"/>
        </w:rPr>
        <w:t>● Collaboration</w:t>
      </w:r>
    </w:p>
    <w:p w14:paraId="24EFDE0C" w14:textId="77777777" w:rsidR="00D81755" w:rsidRDefault="0073296A">
      <w:pPr>
        <w:ind w:left="720"/>
        <w:rPr>
          <w:color w:val="333333"/>
          <w:sz w:val="20"/>
          <w:szCs w:val="20"/>
          <w:highlight w:val="white"/>
        </w:rPr>
      </w:pPr>
      <w:r>
        <w:rPr>
          <w:color w:val="333333"/>
          <w:sz w:val="20"/>
          <w:szCs w:val="20"/>
          <w:highlight w:val="white"/>
        </w:rPr>
        <w:t>● Innovation</w:t>
      </w:r>
    </w:p>
    <w:p w14:paraId="24EFDE0D" w14:textId="77777777" w:rsidR="00D81755" w:rsidRDefault="0073296A">
      <w:pPr>
        <w:ind w:left="720"/>
        <w:rPr>
          <w:color w:val="333333"/>
          <w:sz w:val="20"/>
          <w:szCs w:val="20"/>
          <w:highlight w:val="white"/>
        </w:rPr>
      </w:pPr>
      <w:r>
        <w:rPr>
          <w:color w:val="333333"/>
          <w:sz w:val="20"/>
          <w:szCs w:val="20"/>
          <w:highlight w:val="white"/>
        </w:rPr>
        <w:t>● Quality Improvement</w:t>
      </w:r>
    </w:p>
    <w:p w14:paraId="24EFDE0E" w14:textId="77777777" w:rsidR="00D81755" w:rsidRDefault="0073296A">
      <w:pPr>
        <w:ind w:left="720"/>
        <w:rPr>
          <w:color w:val="333333"/>
          <w:sz w:val="20"/>
          <w:szCs w:val="20"/>
          <w:highlight w:val="white"/>
        </w:rPr>
      </w:pPr>
      <w:r>
        <w:rPr>
          <w:color w:val="333333"/>
          <w:sz w:val="20"/>
          <w:szCs w:val="20"/>
          <w:highlight w:val="white"/>
        </w:rPr>
        <w:t>● Diversity, Inclusion and Equity.</w:t>
      </w:r>
    </w:p>
    <w:p w14:paraId="24EFDE0F" w14:textId="77777777" w:rsidR="00D81755" w:rsidRDefault="00D81755">
      <w:pPr>
        <w:ind w:left="720"/>
        <w:rPr>
          <w:color w:val="333333"/>
          <w:sz w:val="20"/>
          <w:szCs w:val="20"/>
          <w:highlight w:val="white"/>
        </w:rPr>
      </w:pPr>
    </w:p>
    <w:p w14:paraId="24EFDE10" w14:textId="77777777" w:rsidR="00D81755" w:rsidRDefault="0073296A">
      <w:pPr>
        <w:rPr>
          <w:sz w:val="20"/>
          <w:szCs w:val="20"/>
        </w:rPr>
      </w:pPr>
      <w:r>
        <w:rPr>
          <w:color w:val="000000"/>
          <w:sz w:val="20"/>
          <w:szCs w:val="20"/>
        </w:rPr>
        <w:t xml:space="preserve">The specific goals and measurable objectives developed by the faculty (with feedback and contributions from our health administration community and constituents) of the </w:t>
      </w:r>
      <w:r>
        <w:rPr>
          <w:i/>
          <w:iCs/>
          <w:sz w:val="20"/>
          <w:szCs w:val="20"/>
        </w:rPr>
        <w:t>Master of Health Administration</w:t>
      </w:r>
      <w:r>
        <w:rPr>
          <w:sz w:val="20"/>
          <w:szCs w:val="20"/>
        </w:rPr>
        <w:t xml:space="preserve"> degree program </w:t>
      </w:r>
      <w:r>
        <w:rPr>
          <w:color w:val="000000"/>
          <w:sz w:val="20"/>
          <w:szCs w:val="20"/>
        </w:rPr>
        <w:t>are contained in Table 2 of this bulletin (pg. 46).</w:t>
      </w:r>
    </w:p>
    <w:p w14:paraId="24EFDE11" w14:textId="77777777" w:rsidR="00D81755" w:rsidRDefault="0073296A">
      <w:pPr>
        <w:pStyle w:val="Heading2"/>
      </w:pPr>
      <w:bookmarkStart w:id="24" w:name="_heading=h.fcaobpki663y" w:colFirst="0" w:colLast="0"/>
      <w:bookmarkEnd w:id="24"/>
      <w:r>
        <w:t>MHA ACCREDITATION</w:t>
      </w:r>
    </w:p>
    <w:p w14:paraId="24EFDE12" w14:textId="77777777" w:rsidR="00D81755" w:rsidRDefault="0073296A">
      <w:pPr>
        <w:jc w:val="both"/>
        <w:rPr>
          <w:sz w:val="20"/>
          <w:szCs w:val="20"/>
        </w:rPr>
      </w:pPr>
      <w:r>
        <w:rPr>
          <w:sz w:val="20"/>
          <w:szCs w:val="20"/>
        </w:rPr>
        <w:t>The MHA Program is nationally accredited by the Commission on Accreditation of Healthcare Management Education</w:t>
      </w:r>
      <w:hyperlink r:id="rId23">
        <w:r>
          <w:rPr>
            <w:color w:val="0000FF"/>
            <w:sz w:val="20"/>
            <w:szCs w:val="20"/>
            <w:u w:val="single"/>
          </w:rPr>
          <w:t> (CAHME)</w:t>
        </w:r>
      </w:hyperlink>
      <w:r>
        <w:rPr>
          <w:sz w:val="20"/>
          <w:szCs w:val="20"/>
        </w:rPr>
        <w:t xml:space="preserve">. The MHA Program successfully received CAHME re-accreditation in Spring 2025 for an eight-year term, extending to 2033 when the program will be reviewed for re-accreditation.  </w:t>
      </w:r>
    </w:p>
    <w:p w14:paraId="24EFDE13" w14:textId="77777777" w:rsidR="00D81755" w:rsidRDefault="00D81755">
      <w:pPr>
        <w:jc w:val="both"/>
        <w:rPr>
          <w:sz w:val="20"/>
          <w:szCs w:val="20"/>
        </w:rPr>
      </w:pPr>
    </w:p>
    <w:p w14:paraId="24EFDE14" w14:textId="77777777" w:rsidR="00D81755" w:rsidRDefault="0073296A">
      <w:pPr>
        <w:jc w:val="both"/>
        <w:rPr>
          <w:sz w:val="20"/>
          <w:szCs w:val="20"/>
        </w:rPr>
      </w:pPr>
      <w:r>
        <w:rPr>
          <w:sz w:val="20"/>
          <w:szCs w:val="20"/>
        </w:rPr>
        <w:t>The MHA curriculum uses an adapted version of the National Center for Healthcare Leadership </w:t>
      </w:r>
      <w:hyperlink r:id="rId24">
        <w:r>
          <w:rPr>
            <w:color w:val="0000FF"/>
            <w:sz w:val="20"/>
            <w:szCs w:val="20"/>
            <w:u w:val="single"/>
          </w:rPr>
          <w:t>(NCHL)</w:t>
        </w:r>
      </w:hyperlink>
      <w:r>
        <w:rPr>
          <w:sz w:val="20"/>
          <w:szCs w:val="20"/>
        </w:rPr>
        <w:t> Healthcare Leadership Competency Model. The primary domains of the MHA Competency Model include assessment of student capabilities at a beginner, intermediate, or advanced level in four key areas at multiple points throughout the curriculum. These key domains include competency assessment in:</w:t>
      </w:r>
    </w:p>
    <w:p w14:paraId="24EFDE15" w14:textId="77777777" w:rsidR="00D81755" w:rsidRDefault="0073296A">
      <w:pPr>
        <w:numPr>
          <w:ilvl w:val="0"/>
          <w:numId w:val="26"/>
        </w:numPr>
        <w:jc w:val="both"/>
        <w:rPr>
          <w:sz w:val="20"/>
          <w:szCs w:val="20"/>
        </w:rPr>
      </w:pPr>
      <w:r>
        <w:rPr>
          <w:sz w:val="20"/>
          <w:szCs w:val="20"/>
        </w:rPr>
        <w:t>Management Functions</w:t>
      </w:r>
    </w:p>
    <w:p w14:paraId="24EFDE16" w14:textId="77777777" w:rsidR="00D81755" w:rsidRDefault="0073296A">
      <w:pPr>
        <w:numPr>
          <w:ilvl w:val="0"/>
          <w:numId w:val="26"/>
        </w:numPr>
        <w:jc w:val="both"/>
        <w:rPr>
          <w:sz w:val="20"/>
          <w:szCs w:val="20"/>
        </w:rPr>
      </w:pPr>
      <w:r>
        <w:rPr>
          <w:sz w:val="20"/>
          <w:szCs w:val="20"/>
        </w:rPr>
        <w:t>Health Systems and Policies</w:t>
      </w:r>
    </w:p>
    <w:p w14:paraId="24EFDE17" w14:textId="77777777" w:rsidR="00D81755" w:rsidRDefault="0073296A">
      <w:pPr>
        <w:numPr>
          <w:ilvl w:val="0"/>
          <w:numId w:val="26"/>
        </w:numPr>
        <w:jc w:val="both"/>
        <w:rPr>
          <w:sz w:val="20"/>
          <w:szCs w:val="20"/>
        </w:rPr>
      </w:pPr>
      <w:r>
        <w:rPr>
          <w:sz w:val="20"/>
          <w:szCs w:val="20"/>
        </w:rPr>
        <w:t>Leadership and Professionalism</w:t>
      </w:r>
    </w:p>
    <w:p w14:paraId="24EFDE18" w14:textId="77777777" w:rsidR="00D81755" w:rsidRDefault="0073296A">
      <w:pPr>
        <w:numPr>
          <w:ilvl w:val="0"/>
          <w:numId w:val="26"/>
        </w:numPr>
        <w:jc w:val="both"/>
        <w:rPr>
          <w:sz w:val="20"/>
          <w:szCs w:val="20"/>
        </w:rPr>
      </w:pPr>
      <w:r>
        <w:rPr>
          <w:sz w:val="20"/>
          <w:szCs w:val="20"/>
        </w:rPr>
        <w:t>Business and Analytic Skills</w:t>
      </w:r>
    </w:p>
    <w:p w14:paraId="24EFDE19" w14:textId="77777777" w:rsidR="00D81755" w:rsidRDefault="00D81755">
      <w:pPr>
        <w:jc w:val="both"/>
        <w:rPr>
          <w:sz w:val="20"/>
          <w:szCs w:val="20"/>
        </w:rPr>
      </w:pPr>
    </w:p>
    <w:p w14:paraId="24EFDE1A" w14:textId="77777777" w:rsidR="00D81755" w:rsidRDefault="0073296A">
      <w:pPr>
        <w:rPr>
          <w:sz w:val="20"/>
          <w:szCs w:val="20"/>
        </w:rPr>
      </w:pPr>
      <w:bookmarkStart w:id="25" w:name="_heading=h.kmliswkipnn" w:colFirst="0" w:colLast="0"/>
      <w:bookmarkEnd w:id="25"/>
      <w:r>
        <w:rPr>
          <w:b/>
          <w:bCs/>
          <w:sz w:val="20"/>
          <w:szCs w:val="20"/>
        </w:rPr>
        <w:t>MHA DEGREE CURRICULUM</w:t>
      </w:r>
      <w:r>
        <w:rPr>
          <w:b/>
          <w:bCs/>
          <w:sz w:val="20"/>
          <w:szCs w:val="20"/>
        </w:rPr>
        <w:br/>
      </w:r>
      <w:r>
        <w:rPr>
          <w:sz w:val="20"/>
          <w:szCs w:val="20"/>
        </w:rPr>
        <w:t xml:space="preserve">The curriculum of the MHA Program is designed to meet the growing need for health managers with competency in population health concepts, and experts in population health with an understanding of healthcare management principles. As the demand for </w:t>
      </w:r>
      <w:proofErr w:type="gramStart"/>
      <w:r>
        <w:rPr>
          <w:sz w:val="20"/>
          <w:szCs w:val="20"/>
        </w:rPr>
        <w:t>high quality</w:t>
      </w:r>
      <w:proofErr w:type="gramEnd"/>
      <w:r>
        <w:rPr>
          <w:sz w:val="20"/>
          <w:szCs w:val="20"/>
        </w:rPr>
        <w:t xml:space="preserve"> healthcare administrators </w:t>
      </w:r>
      <w:proofErr w:type="gramStart"/>
      <w:r>
        <w:rPr>
          <w:sz w:val="20"/>
          <w:szCs w:val="20"/>
        </w:rPr>
        <w:t>grows</w:t>
      </w:r>
      <w:proofErr w:type="gramEnd"/>
      <w:r>
        <w:rPr>
          <w:sz w:val="20"/>
          <w:szCs w:val="20"/>
        </w:rPr>
        <w:t xml:space="preserve">, it is essential that health management professionals </w:t>
      </w:r>
      <w:proofErr w:type="gramStart"/>
      <w:r>
        <w:rPr>
          <w:sz w:val="20"/>
          <w:szCs w:val="20"/>
        </w:rPr>
        <w:t>are able to</w:t>
      </w:r>
      <w:proofErr w:type="gramEnd"/>
      <w:r>
        <w:rPr>
          <w:sz w:val="20"/>
          <w:szCs w:val="20"/>
        </w:rPr>
        <w:t xml:space="preserve"> articulate and apply managerial competencies that promote healthy populations. The MHA Program guides students to make connections and assess the intersection of these critical fields of study. </w:t>
      </w:r>
    </w:p>
    <w:p w14:paraId="24EFDE1B" w14:textId="77777777" w:rsidR="00D81755" w:rsidRDefault="00D81755">
      <w:pPr>
        <w:rPr>
          <w:sz w:val="20"/>
          <w:szCs w:val="20"/>
        </w:rPr>
      </w:pPr>
    </w:p>
    <w:p w14:paraId="24EFDE1C" w14:textId="77777777" w:rsidR="00D81755" w:rsidRDefault="0073296A">
      <w:pPr>
        <w:rPr>
          <w:sz w:val="20"/>
          <w:szCs w:val="20"/>
        </w:rPr>
      </w:pPr>
      <w:r>
        <w:rPr>
          <w:sz w:val="20"/>
          <w:szCs w:val="20"/>
        </w:rPr>
        <w:t>The MHA Program is a total of 51 credits, spanning 21 months or two academic years for students who are enrolled full-time. Part-time enrollment options are available as well.</w:t>
      </w:r>
    </w:p>
    <w:p w14:paraId="24EFDE1D" w14:textId="77777777" w:rsidR="00D81755" w:rsidRDefault="00D81755">
      <w:pPr>
        <w:rPr>
          <w:sz w:val="20"/>
          <w:szCs w:val="20"/>
        </w:rPr>
      </w:pPr>
    </w:p>
    <w:p w14:paraId="24EFDE1F" w14:textId="500DDA2D" w:rsidR="00D81755" w:rsidRPr="00701661" w:rsidRDefault="0073296A" w:rsidP="00701661">
      <w:pPr>
        <w:jc w:val="both"/>
        <w:rPr>
          <w:b/>
          <w:bCs/>
          <w:sz w:val="20"/>
          <w:szCs w:val="20"/>
        </w:rPr>
      </w:pPr>
      <w:hyperlink r:id="rId25" w:history="1">
        <w:r w:rsidRPr="00701661">
          <w:rPr>
            <w:rStyle w:val="Hyperlink"/>
            <w:b/>
            <w:bCs/>
            <w:sz w:val="20"/>
            <w:szCs w:val="20"/>
          </w:rPr>
          <w:t>Curriculum Overview:</w:t>
        </w:r>
      </w:hyperlink>
      <w:r>
        <w:rPr>
          <w:b/>
          <w:bCs/>
          <w:sz w:val="20"/>
          <w:szCs w:val="20"/>
        </w:rPr>
        <w:t xml:space="preserve"> </w:t>
      </w:r>
    </w:p>
    <w:p w14:paraId="24EFDE20" w14:textId="77777777" w:rsidR="00D81755" w:rsidRDefault="0073296A">
      <w:pPr>
        <w:pStyle w:val="Heading2"/>
      </w:pPr>
      <w:bookmarkStart w:id="26" w:name="_heading=h.a1rx722tsbbh" w:colFirst="0" w:colLast="0"/>
      <w:bookmarkEnd w:id="26"/>
      <w:r>
        <w:t xml:space="preserve">COMPETENCY ASSESSMENT </w:t>
      </w:r>
    </w:p>
    <w:p w14:paraId="24EFDE21" w14:textId="77777777" w:rsidR="00D81755" w:rsidRDefault="0073296A">
      <w:pPr>
        <w:rPr>
          <w:sz w:val="20"/>
          <w:szCs w:val="20"/>
        </w:rPr>
      </w:pPr>
      <w:r>
        <w:rPr>
          <w:sz w:val="20"/>
          <w:szCs w:val="20"/>
        </w:rPr>
        <w:t xml:space="preserve">The MHA Program aims to develop student competency in skills and knowledge areas specific to the health management field. Competencies are mapped to relevant courses throughout the curriculum, and, in turn, to relevant learning objectives and assignments. </w:t>
      </w:r>
      <w:proofErr w:type="gramStart"/>
      <w:r>
        <w:rPr>
          <w:sz w:val="20"/>
          <w:szCs w:val="20"/>
        </w:rPr>
        <w:t>In order to</w:t>
      </w:r>
      <w:proofErr w:type="gramEnd"/>
      <w:r>
        <w:rPr>
          <w:sz w:val="20"/>
          <w:szCs w:val="20"/>
        </w:rPr>
        <w:t xml:space="preserve"> assess students’ development toward competency attainment, students will encounter a variety of assessments, </w:t>
      </w:r>
      <w:proofErr w:type="gramStart"/>
      <w:r>
        <w:rPr>
          <w:sz w:val="20"/>
          <w:szCs w:val="20"/>
        </w:rPr>
        <w:t>including:</w:t>
      </w:r>
      <w:proofErr w:type="gramEnd"/>
      <w:r>
        <w:rPr>
          <w:sz w:val="20"/>
          <w:szCs w:val="20"/>
        </w:rPr>
        <w:t xml:space="preserve"> pre- and post-course self-assessments, regular faculty assessments, preceptor assessments, mentor assessments, and peer assessments. </w:t>
      </w:r>
      <w:r>
        <w:rPr>
          <w:sz w:val="20"/>
          <w:szCs w:val="20"/>
        </w:rPr>
        <w:lastRenderedPageBreak/>
        <w:t>Competency attainment is measured using a scale ranging from “Beginner,” to “Intermediate,” and “Advanced.” Students and other stakeholders (faculty, preceptors, mentors) will be familiar with the competency model’s terminology and definitions, allowing them to assess themselves and others honestly. The MHA Program aims to prepare all graduates of the program to attain at least intermediate proficiency in all competencies upon completion of the degree.</w:t>
      </w:r>
    </w:p>
    <w:p w14:paraId="24EFDE22" w14:textId="77777777" w:rsidR="00D81755" w:rsidRDefault="00D81755">
      <w:pPr>
        <w:rPr>
          <w:sz w:val="20"/>
          <w:szCs w:val="20"/>
        </w:rPr>
      </w:pPr>
    </w:p>
    <w:p w14:paraId="24EFDE23" w14:textId="77777777" w:rsidR="00D81755" w:rsidRDefault="0073296A">
      <w:pPr>
        <w:rPr>
          <w:sz w:val="20"/>
          <w:szCs w:val="20"/>
        </w:rPr>
      </w:pPr>
      <w:r>
        <w:rPr>
          <w:sz w:val="20"/>
          <w:szCs w:val="20"/>
        </w:rPr>
        <w:t xml:space="preserve">Competency attainment is measured separately from course grades and is intended to guide students and graduates toward lifelong learning and continuous improvement, while simultaneously informing the Program of its efficacy in conveying these competencies.  </w:t>
      </w:r>
    </w:p>
    <w:p w14:paraId="24EFDE24" w14:textId="77777777" w:rsidR="00D81755" w:rsidRDefault="0073296A">
      <w:pPr>
        <w:pStyle w:val="Heading2"/>
      </w:pPr>
      <w:bookmarkStart w:id="27" w:name="_heading=h.lunuuoia6vh4" w:colFirst="0" w:colLast="0"/>
      <w:bookmarkEnd w:id="27"/>
      <w:r>
        <w:t xml:space="preserve">MHA ADVISING POLICY </w:t>
      </w:r>
    </w:p>
    <w:p w14:paraId="24EFDE25" w14:textId="77777777" w:rsidR="00D81755" w:rsidRDefault="0073296A">
      <w:pPr>
        <w:jc w:val="both"/>
      </w:pPr>
      <w:r>
        <w:rPr>
          <w:sz w:val="20"/>
          <w:szCs w:val="20"/>
        </w:rPr>
        <w:t xml:space="preserve">Every student has access to and is encouraged to participate in both (a) academic advising and (b) career advising. For academic advising, each student is encouraged to review their plan of study and coursework registration/selection at least once a year with the Associate Director for Student and Academic Affairs, the Graduate Program Coordinator, or another trained member of the professional staff.  For career advising, every student is assigned a Faculty Advisor upon matriculation into the program or within the first semester.  Whenever possible, MHA students are matched to a faculty advisor within their specified field of interest.  The student may change advisors at any time with the engagement of Associate Director for Student and Academic Affairs or the appropriate Program Director. </w:t>
      </w:r>
    </w:p>
    <w:p w14:paraId="24EFDE26" w14:textId="77777777" w:rsidR="00D81755" w:rsidRDefault="0073296A">
      <w:pPr>
        <w:jc w:val="both"/>
        <w:rPr>
          <w:sz w:val="20"/>
          <w:szCs w:val="20"/>
        </w:rPr>
      </w:pPr>
      <w:r>
        <w:rPr>
          <w:sz w:val="20"/>
          <w:szCs w:val="20"/>
        </w:rPr>
        <w:t xml:space="preserve"> </w:t>
      </w:r>
    </w:p>
    <w:p w14:paraId="24EFDE27" w14:textId="77777777" w:rsidR="00D81755" w:rsidRDefault="0073296A">
      <w:pPr>
        <w:jc w:val="both"/>
        <w:rPr>
          <w:sz w:val="20"/>
          <w:szCs w:val="20"/>
        </w:rPr>
      </w:pPr>
      <w:r>
        <w:rPr>
          <w:sz w:val="20"/>
          <w:szCs w:val="20"/>
        </w:rPr>
        <w:t xml:space="preserve">Faculty Advisors meet with their advisees to discuss students’ progress through the program, assess academic growth, and provide guidance with independent study and Practicum/Integrative Experience projects. The Faculty Advisor also discusses the students’ expectations for the future and acts as a touchstone if the student is having problems. </w:t>
      </w:r>
    </w:p>
    <w:p w14:paraId="24EFDE28" w14:textId="77777777" w:rsidR="00D81755" w:rsidRDefault="00D81755">
      <w:pPr>
        <w:jc w:val="both"/>
        <w:rPr>
          <w:sz w:val="20"/>
          <w:szCs w:val="20"/>
        </w:rPr>
      </w:pPr>
    </w:p>
    <w:p w14:paraId="24EFDE29" w14:textId="77777777" w:rsidR="00D81755" w:rsidRDefault="0073296A">
      <w:pPr>
        <w:jc w:val="both"/>
        <w:rPr>
          <w:sz w:val="20"/>
          <w:szCs w:val="20"/>
        </w:rPr>
      </w:pPr>
      <w:r>
        <w:rPr>
          <w:sz w:val="20"/>
          <w:szCs w:val="20"/>
        </w:rPr>
        <w:t xml:space="preserve">Students are encouraged to attend at least one faculty/career advising/competency attainment review session per year and one academic advising session per year with the Graduate Coordinator for MHA. </w:t>
      </w:r>
    </w:p>
    <w:p w14:paraId="24EFDE2A" w14:textId="77777777" w:rsidR="00D81755" w:rsidRDefault="00D81755">
      <w:pPr>
        <w:jc w:val="both"/>
        <w:rPr>
          <w:sz w:val="20"/>
          <w:szCs w:val="20"/>
        </w:rPr>
      </w:pPr>
    </w:p>
    <w:p w14:paraId="24EFDE2B" w14:textId="77777777" w:rsidR="00D81755" w:rsidRDefault="0073296A">
      <w:pPr>
        <w:jc w:val="both"/>
        <w:rPr>
          <w:sz w:val="20"/>
          <w:szCs w:val="20"/>
        </w:rPr>
      </w:pPr>
      <w:r>
        <w:rPr>
          <w:sz w:val="20"/>
          <w:szCs w:val="20"/>
        </w:rPr>
        <w:t xml:space="preserve">Students are contacted by the Program to schedule Advisor appointments with their Faculty Advisor and Academic Advisor throughout the year. Students may request appointments with their Faculty Advisor or Academic Advisor at any time.  </w:t>
      </w:r>
    </w:p>
    <w:p w14:paraId="24EFDE2C" w14:textId="77777777" w:rsidR="00D81755" w:rsidRDefault="0073296A">
      <w:pPr>
        <w:pStyle w:val="Heading2"/>
      </w:pPr>
      <w:bookmarkStart w:id="28" w:name="_heading=h.3g9y9eusjluh" w:colFirst="0" w:colLast="0"/>
      <w:bookmarkEnd w:id="28"/>
      <w:r>
        <w:t>ADMISSION TO THE MHA DEGREE PROGRAM</w:t>
      </w:r>
    </w:p>
    <w:p w14:paraId="24EFDE2D" w14:textId="77777777" w:rsidR="00D81755" w:rsidRDefault="0073296A">
      <w:pPr>
        <w:jc w:val="both"/>
        <w:rPr>
          <w:color w:val="000000"/>
          <w:sz w:val="20"/>
          <w:szCs w:val="20"/>
        </w:rPr>
      </w:pPr>
      <w:r>
        <w:rPr>
          <w:color w:val="000000"/>
          <w:sz w:val="20"/>
          <w:szCs w:val="20"/>
        </w:rPr>
        <w:t>Although admission requirements are rigorous, the PPH aims to develop camaraderie, cooperation, and cohesiveness among students in each cohort. For this reason, admission to the MHA degree programs is during the Fall semester only.</w:t>
      </w:r>
      <w:r>
        <w:rPr>
          <w:sz w:val="20"/>
          <w:szCs w:val="20"/>
        </w:rPr>
        <w:t xml:space="preserve"> </w:t>
      </w:r>
    </w:p>
    <w:p w14:paraId="24EFDE2E" w14:textId="77777777" w:rsidR="00D81755" w:rsidRDefault="00D81755">
      <w:pPr>
        <w:jc w:val="both"/>
        <w:rPr>
          <w:color w:val="000000"/>
          <w:sz w:val="20"/>
          <w:szCs w:val="20"/>
        </w:rPr>
      </w:pPr>
    </w:p>
    <w:p w14:paraId="24EFDE2F" w14:textId="77777777" w:rsidR="00D81755" w:rsidRDefault="0073296A">
      <w:pPr>
        <w:jc w:val="both"/>
        <w:rPr>
          <w:color w:val="000000"/>
          <w:sz w:val="20"/>
          <w:szCs w:val="20"/>
        </w:rPr>
      </w:pPr>
      <w:r>
        <w:rPr>
          <w:color w:val="000000"/>
          <w:sz w:val="20"/>
          <w:szCs w:val="20"/>
        </w:rPr>
        <w:t xml:space="preserve">We are from different socioeconomic, educational, racial, and ethnic backgrounds who can provide special contributions to the field of public health, health management and the Program. Admission processes consider the potential contribution of each MHA applicant to the student body and the public health or health management field. Applicants are evaluated on academic achievement, leadership potential, professional accomplishment, and personal attributes. Excellent written and oral communication skills are expected. Fluency in more than one language is not required for admission, but it is becoming increasingly desirable for the practice of public health and health administration. </w:t>
      </w:r>
    </w:p>
    <w:p w14:paraId="24EFDE30" w14:textId="77777777" w:rsidR="00D81755" w:rsidRDefault="00D81755">
      <w:pPr>
        <w:jc w:val="both"/>
        <w:rPr>
          <w:b/>
          <w:bCs/>
          <w:color w:val="000000"/>
          <w:sz w:val="20"/>
          <w:szCs w:val="20"/>
        </w:rPr>
      </w:pPr>
    </w:p>
    <w:p w14:paraId="24EFDE31" w14:textId="77777777" w:rsidR="00D81755" w:rsidRDefault="0073296A">
      <w:pPr>
        <w:jc w:val="both"/>
        <w:rPr>
          <w:color w:val="000000"/>
          <w:sz w:val="20"/>
          <w:szCs w:val="20"/>
        </w:rPr>
      </w:pPr>
      <w:r>
        <w:rPr>
          <w:color w:val="000000"/>
          <w:sz w:val="20"/>
          <w:szCs w:val="20"/>
        </w:rPr>
        <w:t xml:space="preserve">The PPH reserves the right to limit MHA class size </w:t>
      </w:r>
      <w:proofErr w:type="gramStart"/>
      <w:r>
        <w:rPr>
          <w:color w:val="000000"/>
          <w:sz w:val="20"/>
          <w:szCs w:val="20"/>
        </w:rPr>
        <w:t>in order to</w:t>
      </w:r>
      <w:proofErr w:type="gramEnd"/>
      <w:r>
        <w:rPr>
          <w:color w:val="000000"/>
          <w:sz w:val="20"/>
          <w:szCs w:val="20"/>
        </w:rPr>
        <w:t xml:space="preserve"> maintain a faculty/student ratio that ensures a high-quality academic program. Therefore, admission to the MHA programs is highly selective, and all qualified applicants may not be accepted.</w:t>
      </w:r>
    </w:p>
    <w:p w14:paraId="24EFDE32" w14:textId="77777777" w:rsidR="00D81755" w:rsidRDefault="00D81755">
      <w:pPr>
        <w:jc w:val="both"/>
        <w:rPr>
          <w:sz w:val="20"/>
          <w:szCs w:val="20"/>
        </w:rPr>
      </w:pPr>
    </w:p>
    <w:p w14:paraId="24EFDE33" w14:textId="77777777" w:rsidR="00D81755" w:rsidRDefault="0073296A">
      <w:pPr>
        <w:jc w:val="both"/>
        <w:rPr>
          <w:sz w:val="20"/>
          <w:szCs w:val="20"/>
        </w:rPr>
      </w:pPr>
      <w:r>
        <w:rPr>
          <w:sz w:val="20"/>
          <w:szCs w:val="20"/>
        </w:rPr>
        <w:t xml:space="preserve">The admission requirements for the MHA Program are: </w:t>
      </w:r>
    </w:p>
    <w:p w14:paraId="24EFDE34" w14:textId="77777777" w:rsidR="00D81755" w:rsidRDefault="0073296A">
      <w:pPr>
        <w:numPr>
          <w:ilvl w:val="0"/>
          <w:numId w:val="12"/>
        </w:numPr>
        <w:jc w:val="both"/>
        <w:rPr>
          <w:sz w:val="20"/>
          <w:szCs w:val="20"/>
        </w:rPr>
      </w:pPr>
      <w:r>
        <w:rPr>
          <w:sz w:val="20"/>
          <w:szCs w:val="20"/>
        </w:rPr>
        <w:t xml:space="preserve">Bachelor's degree from an accredited college or university with a 3.0 GPA or better. Admitted students usually have GPAs that are higher than 3.0.  The major must have an equivalent at the State University of New York (SUNY).  </w:t>
      </w:r>
    </w:p>
    <w:p w14:paraId="24EFDE35" w14:textId="77777777" w:rsidR="00D81755" w:rsidRDefault="0073296A">
      <w:pPr>
        <w:numPr>
          <w:ilvl w:val="0"/>
          <w:numId w:val="12"/>
        </w:numPr>
        <w:jc w:val="both"/>
        <w:rPr>
          <w:sz w:val="20"/>
          <w:szCs w:val="20"/>
        </w:rPr>
      </w:pPr>
      <w:r>
        <w:rPr>
          <w:sz w:val="20"/>
          <w:szCs w:val="20"/>
        </w:rPr>
        <w:t>Official transcripts from all post-secondary schools. Transcripts for all degrees earned in schools outside the U.S. or Canada must be evaluated by an agency accredited by the National Association of Credential Evaluation Services.  See section on International Students for more information about this process.  The requirement for evaluation of transcripts is waived for graduates of foreign medical schools with a current license to practice in the U.S.</w:t>
      </w:r>
    </w:p>
    <w:p w14:paraId="24EFDE36" w14:textId="77777777" w:rsidR="00D81755" w:rsidRDefault="0073296A">
      <w:pPr>
        <w:numPr>
          <w:ilvl w:val="0"/>
          <w:numId w:val="12"/>
        </w:numPr>
        <w:jc w:val="both"/>
        <w:rPr>
          <w:sz w:val="20"/>
          <w:szCs w:val="20"/>
        </w:rPr>
      </w:pPr>
      <w:r>
        <w:rPr>
          <w:sz w:val="20"/>
          <w:szCs w:val="20"/>
        </w:rPr>
        <w:t xml:space="preserve">Three references from </w:t>
      </w:r>
      <w:proofErr w:type="gramStart"/>
      <w:r>
        <w:rPr>
          <w:sz w:val="20"/>
          <w:szCs w:val="20"/>
        </w:rPr>
        <w:t>persons</w:t>
      </w:r>
      <w:proofErr w:type="gramEnd"/>
      <w:r>
        <w:rPr>
          <w:sz w:val="20"/>
          <w:szCs w:val="20"/>
        </w:rPr>
        <w:t xml:space="preserve"> who can address the applicant's capacity to provide leadership in public health and/or health management and complete a course of graduate study.  If the applicant is a student or has graduated within the last two years, at least one letter must be from a college or university faculty member with whom the applicant has studied.  If the applicant is a member of the public health workforce, at least one letter must be from a senior administrator in the organization who is familiar with his/her work.</w:t>
      </w:r>
    </w:p>
    <w:p w14:paraId="24EFDE37" w14:textId="77777777" w:rsidR="00D81755" w:rsidRDefault="0073296A">
      <w:pPr>
        <w:numPr>
          <w:ilvl w:val="0"/>
          <w:numId w:val="12"/>
        </w:numPr>
        <w:jc w:val="both"/>
        <w:rPr>
          <w:sz w:val="20"/>
          <w:szCs w:val="20"/>
        </w:rPr>
      </w:pPr>
      <w:r>
        <w:rPr>
          <w:sz w:val="20"/>
          <w:szCs w:val="20"/>
        </w:rPr>
        <w:t>One essay, no more than 500 words</w:t>
      </w:r>
      <w:r>
        <w:rPr>
          <w:i/>
          <w:iCs/>
          <w:sz w:val="20"/>
          <w:szCs w:val="20"/>
        </w:rPr>
        <w:t>.  Topic provided.</w:t>
      </w:r>
    </w:p>
    <w:p w14:paraId="24EFDE38" w14:textId="77777777" w:rsidR="00D81755" w:rsidRDefault="0073296A">
      <w:pPr>
        <w:numPr>
          <w:ilvl w:val="0"/>
          <w:numId w:val="12"/>
        </w:numPr>
        <w:jc w:val="both"/>
        <w:rPr>
          <w:sz w:val="20"/>
          <w:szCs w:val="20"/>
        </w:rPr>
      </w:pPr>
      <w:r>
        <w:rPr>
          <w:sz w:val="20"/>
          <w:szCs w:val="20"/>
        </w:rPr>
        <w:t>Completion of the online application, SOPHAS or HAMPCAS, by the deadline of each admission cycle.</w:t>
      </w:r>
    </w:p>
    <w:p w14:paraId="24EFDE39" w14:textId="77777777" w:rsidR="00D81755" w:rsidRDefault="0073296A">
      <w:pPr>
        <w:numPr>
          <w:ilvl w:val="0"/>
          <w:numId w:val="12"/>
        </w:numPr>
        <w:jc w:val="both"/>
        <w:rPr>
          <w:sz w:val="20"/>
          <w:szCs w:val="20"/>
        </w:rPr>
      </w:pPr>
      <w:r>
        <w:rPr>
          <w:sz w:val="20"/>
          <w:szCs w:val="20"/>
        </w:rPr>
        <w:t xml:space="preserve">A personal interview, if requested by the Admissions Committee. </w:t>
      </w:r>
    </w:p>
    <w:p w14:paraId="24EFDE3A" w14:textId="77777777" w:rsidR="00D81755" w:rsidRDefault="0073296A">
      <w:pPr>
        <w:numPr>
          <w:ilvl w:val="0"/>
          <w:numId w:val="12"/>
        </w:numPr>
        <w:jc w:val="both"/>
        <w:rPr>
          <w:sz w:val="20"/>
          <w:szCs w:val="20"/>
        </w:rPr>
      </w:pPr>
      <w:proofErr w:type="gramStart"/>
      <w:r>
        <w:rPr>
          <w:sz w:val="20"/>
          <w:szCs w:val="20"/>
        </w:rPr>
        <w:t>Any</w:t>
      </w:r>
      <w:proofErr w:type="gramEnd"/>
      <w:r>
        <w:rPr>
          <w:sz w:val="20"/>
          <w:szCs w:val="20"/>
        </w:rPr>
        <w:t xml:space="preserve"> other requirements of the Graduate School </w:t>
      </w:r>
      <w:proofErr w:type="gramStart"/>
      <w:r>
        <w:rPr>
          <w:sz w:val="20"/>
          <w:szCs w:val="20"/>
        </w:rPr>
        <w:t>not</w:t>
      </w:r>
      <w:proofErr w:type="gramEnd"/>
      <w:r>
        <w:rPr>
          <w:sz w:val="20"/>
          <w:szCs w:val="20"/>
        </w:rPr>
        <w:t xml:space="preserve"> stated here. </w:t>
      </w:r>
    </w:p>
    <w:p w14:paraId="24EFDE3B" w14:textId="77777777" w:rsidR="00D81755" w:rsidRDefault="00D81755">
      <w:pPr>
        <w:jc w:val="both"/>
        <w:rPr>
          <w:sz w:val="20"/>
          <w:szCs w:val="20"/>
        </w:rPr>
      </w:pPr>
    </w:p>
    <w:p w14:paraId="24EFDE3C" w14:textId="77777777" w:rsidR="00D81755" w:rsidRDefault="0073296A">
      <w:pPr>
        <w:jc w:val="both"/>
        <w:rPr>
          <w:sz w:val="20"/>
          <w:szCs w:val="20"/>
        </w:rPr>
      </w:pPr>
      <w:r>
        <w:rPr>
          <w:sz w:val="20"/>
          <w:szCs w:val="20"/>
        </w:rPr>
        <w:t>Note: See individual program websites for additional information regarding quantitative skills.</w:t>
      </w:r>
    </w:p>
    <w:p w14:paraId="24EFDE3D" w14:textId="77777777" w:rsidR="00D81755" w:rsidRDefault="00D81755">
      <w:pPr>
        <w:jc w:val="both"/>
        <w:rPr>
          <w:sz w:val="20"/>
          <w:szCs w:val="20"/>
        </w:rPr>
      </w:pPr>
    </w:p>
    <w:p w14:paraId="24EFDE3E" w14:textId="77777777" w:rsidR="00D81755" w:rsidRDefault="0073296A">
      <w:pPr>
        <w:jc w:val="both"/>
        <w:rPr>
          <w:sz w:val="20"/>
          <w:szCs w:val="20"/>
        </w:rPr>
      </w:pPr>
      <w:r>
        <w:rPr>
          <w:sz w:val="20"/>
          <w:szCs w:val="20"/>
        </w:rPr>
        <w:lastRenderedPageBreak/>
        <w:t xml:space="preserve">Note: This program requires </w:t>
      </w:r>
      <w:proofErr w:type="gramStart"/>
      <w:r>
        <w:rPr>
          <w:sz w:val="20"/>
          <w:szCs w:val="20"/>
        </w:rPr>
        <w:t>a field</w:t>
      </w:r>
      <w:proofErr w:type="gramEnd"/>
      <w:r>
        <w:rPr>
          <w:sz w:val="20"/>
          <w:szCs w:val="20"/>
        </w:rPr>
        <w:t xml:space="preserve"> experience for degree completion. Students previously convicted of a felony are advised that their prior criminal history may impede their ability to participate in specific placements. If applicants have concerns about this </w:t>
      </w:r>
      <w:proofErr w:type="gramStart"/>
      <w:r>
        <w:rPr>
          <w:sz w:val="20"/>
          <w:szCs w:val="20"/>
        </w:rPr>
        <w:t>matter</w:t>
      </w:r>
      <w:proofErr w:type="gramEnd"/>
      <w:r>
        <w:rPr>
          <w:sz w:val="20"/>
          <w:szCs w:val="20"/>
        </w:rPr>
        <w:t xml:space="preserve"> please contact the Program in Public Health office.</w:t>
      </w:r>
    </w:p>
    <w:p w14:paraId="24EFDE3F" w14:textId="77777777" w:rsidR="00D81755" w:rsidRDefault="00D81755">
      <w:pPr>
        <w:jc w:val="both"/>
        <w:rPr>
          <w:b/>
          <w:bCs/>
          <w:i/>
          <w:iCs/>
          <w:sz w:val="20"/>
          <w:szCs w:val="20"/>
        </w:rPr>
      </w:pPr>
    </w:p>
    <w:p w14:paraId="24EFDE40" w14:textId="77777777" w:rsidR="00D81755" w:rsidRDefault="0073296A">
      <w:pPr>
        <w:jc w:val="both"/>
        <w:rPr>
          <w:b/>
          <w:bCs/>
          <w:i/>
          <w:iCs/>
          <w:sz w:val="20"/>
          <w:szCs w:val="20"/>
        </w:rPr>
      </w:pPr>
      <w:r>
        <w:rPr>
          <w:b/>
          <w:bCs/>
          <w:i/>
          <w:iCs/>
          <w:sz w:val="20"/>
          <w:szCs w:val="20"/>
        </w:rPr>
        <w:t>For international students:</w:t>
      </w:r>
    </w:p>
    <w:p w14:paraId="24EFDE41" w14:textId="77777777" w:rsidR="00D81755" w:rsidRDefault="0073296A">
      <w:pPr>
        <w:numPr>
          <w:ilvl w:val="0"/>
          <w:numId w:val="4"/>
        </w:numPr>
        <w:jc w:val="both"/>
        <w:rPr>
          <w:sz w:val="20"/>
          <w:szCs w:val="20"/>
        </w:rPr>
      </w:pPr>
      <w:r>
        <w:rPr>
          <w:sz w:val="20"/>
          <w:szCs w:val="20"/>
        </w:rPr>
        <w:t xml:space="preserve">International students who trained in non-English speaking schools and do not reside in an English-speaking country are required to take the TOEFL exam. The expected minimum score is 213 for the </w:t>
      </w:r>
      <w:proofErr w:type="gramStart"/>
      <w:r>
        <w:rPr>
          <w:sz w:val="20"/>
          <w:szCs w:val="20"/>
        </w:rPr>
        <w:t>Computer</w:t>
      </w:r>
      <w:proofErr w:type="gramEnd"/>
      <w:r>
        <w:rPr>
          <w:sz w:val="20"/>
          <w:szCs w:val="20"/>
        </w:rPr>
        <w:t xml:space="preserve">-Based Test, 90 for the Internet-Based Test, and 550 for the Paper-Based Test. In addition to the minimum score of 90 on the internet-based exam, each subsection score must be at least </w:t>
      </w:r>
      <w:proofErr w:type="gramStart"/>
      <w:r>
        <w:rPr>
          <w:sz w:val="20"/>
          <w:szCs w:val="20"/>
        </w:rPr>
        <w:t>a 22</w:t>
      </w:r>
      <w:proofErr w:type="gramEnd"/>
      <w:r>
        <w:rPr>
          <w:sz w:val="20"/>
          <w:szCs w:val="20"/>
        </w:rPr>
        <w:t xml:space="preserve">. </w:t>
      </w:r>
    </w:p>
    <w:p w14:paraId="24EFDE42" w14:textId="77777777" w:rsidR="00D81755" w:rsidRDefault="0073296A">
      <w:pPr>
        <w:numPr>
          <w:ilvl w:val="0"/>
          <w:numId w:val="4"/>
        </w:numPr>
        <w:rPr>
          <w:sz w:val="20"/>
          <w:szCs w:val="20"/>
        </w:rPr>
      </w:pPr>
      <w:r>
        <w:rPr>
          <w:sz w:val="20"/>
          <w:szCs w:val="20"/>
        </w:rPr>
        <w:t>International students are required to have a course-by-course educational credential evaluation completed by an agency accredited by the National Association of Credential Evaluation Services (</w:t>
      </w:r>
      <w:hyperlink r:id="rId26">
        <w:r>
          <w:rPr>
            <w:color w:val="000000"/>
            <w:sz w:val="20"/>
            <w:szCs w:val="20"/>
            <w:u w:val="single"/>
          </w:rPr>
          <w:t>http://www.naces.org</w:t>
        </w:r>
      </w:hyperlink>
      <w:r>
        <w:rPr>
          <w:sz w:val="20"/>
          <w:szCs w:val="20"/>
        </w:rPr>
        <w:t>).  We require using World Education Services (</w:t>
      </w:r>
      <w:hyperlink r:id="rId27">
        <w:r>
          <w:rPr>
            <w:color w:val="000000"/>
            <w:sz w:val="20"/>
            <w:szCs w:val="20"/>
            <w:u w:val="single"/>
          </w:rPr>
          <w:t>http://www.wes.org</w:t>
        </w:r>
      </w:hyperlink>
      <w:r>
        <w:rPr>
          <w:sz w:val="20"/>
          <w:szCs w:val="20"/>
        </w:rPr>
        <w:t>).  This evaluation provides a U.S. course equivalent including semester hours earned, course content, and corresponding letter grade for all courses listed on the international applicant’s transcript.  This evaluation must be completed before the application is considered.</w:t>
      </w:r>
    </w:p>
    <w:p w14:paraId="24EFDE43" w14:textId="77777777" w:rsidR="00D81755" w:rsidRDefault="00D81755">
      <w:pPr>
        <w:jc w:val="both"/>
        <w:rPr>
          <w:sz w:val="20"/>
          <w:szCs w:val="20"/>
        </w:rPr>
      </w:pPr>
    </w:p>
    <w:p w14:paraId="24EFDE44" w14:textId="77777777" w:rsidR="00D81755" w:rsidRDefault="0073296A">
      <w:pPr>
        <w:jc w:val="both"/>
        <w:rPr>
          <w:sz w:val="20"/>
          <w:szCs w:val="20"/>
        </w:rPr>
      </w:pPr>
      <w:r>
        <w:rPr>
          <w:sz w:val="20"/>
          <w:szCs w:val="20"/>
        </w:rPr>
        <w:t>The Admissions Committee considers all factors including grades, standardized test scores, recommendation letters, essay, prior training, and professional experience. It is a goal of the Committee to select applicants who have the academic capability, aptitude, character, personal qualities, and commitment to provide future value to society through leadership and creative contributions to public health.</w:t>
      </w:r>
    </w:p>
    <w:p w14:paraId="24EFDE45" w14:textId="77777777" w:rsidR="00D81755" w:rsidRDefault="00D81755">
      <w:pPr>
        <w:jc w:val="both"/>
        <w:rPr>
          <w:sz w:val="20"/>
          <w:szCs w:val="20"/>
        </w:rPr>
      </w:pPr>
    </w:p>
    <w:p w14:paraId="24EFDE46" w14:textId="77777777" w:rsidR="00D81755" w:rsidRDefault="0073296A">
      <w:pPr>
        <w:jc w:val="both"/>
        <w:rPr>
          <w:sz w:val="20"/>
          <w:szCs w:val="20"/>
        </w:rPr>
      </w:pPr>
      <w:r>
        <w:rPr>
          <w:sz w:val="20"/>
          <w:szCs w:val="20"/>
        </w:rPr>
        <w:t xml:space="preserve">The Admissions Committee encourages applications from </w:t>
      </w:r>
      <w:proofErr w:type="gramStart"/>
      <w:r>
        <w:rPr>
          <w:sz w:val="20"/>
          <w:szCs w:val="20"/>
        </w:rPr>
        <w:t>persons</w:t>
      </w:r>
      <w:proofErr w:type="gramEnd"/>
      <w:r>
        <w:rPr>
          <w:sz w:val="20"/>
          <w:szCs w:val="20"/>
        </w:rPr>
        <w:t xml:space="preserve"> in the public health and health administration workforce and weighs their professional experience heavily in its decisions.  </w:t>
      </w:r>
    </w:p>
    <w:p w14:paraId="24EFDE47" w14:textId="77777777" w:rsidR="00D81755" w:rsidRDefault="0073296A">
      <w:pPr>
        <w:pStyle w:val="Heading2"/>
      </w:pPr>
      <w:bookmarkStart w:id="29" w:name="_heading=h.1ksv4uv" w:colFirst="0" w:colLast="0"/>
      <w:bookmarkEnd w:id="29"/>
      <w:r>
        <w:t>ADMITTED STUDENTS</w:t>
      </w:r>
    </w:p>
    <w:p w14:paraId="24EFDE48" w14:textId="77777777" w:rsidR="00D81755" w:rsidRDefault="0073296A">
      <w:pPr>
        <w:jc w:val="both"/>
        <w:rPr>
          <w:sz w:val="20"/>
          <w:szCs w:val="20"/>
        </w:rPr>
      </w:pPr>
      <w:r>
        <w:rPr>
          <w:sz w:val="20"/>
          <w:szCs w:val="20"/>
        </w:rPr>
        <w:t>Once admitted, the PPH has the following requirements that must be completed:</w:t>
      </w:r>
    </w:p>
    <w:p w14:paraId="24EFDE49" w14:textId="77777777" w:rsidR="00D81755" w:rsidRDefault="0073296A">
      <w:pPr>
        <w:numPr>
          <w:ilvl w:val="0"/>
          <w:numId w:val="10"/>
        </w:numPr>
        <w:rPr>
          <w:color w:val="000000"/>
          <w:sz w:val="20"/>
          <w:szCs w:val="20"/>
        </w:rPr>
      </w:pPr>
      <w:r>
        <w:rPr>
          <w:color w:val="000000"/>
          <w:sz w:val="20"/>
          <w:szCs w:val="20"/>
        </w:rPr>
        <w:t>All entering students must complete both the Health Sciences Compliance Training and the online Protection of Human Subjects training before the PPH Orientation. The course is offered by the Collaborative Institutional Training Initiative (CITI).  More information can be found on page 41 of this bulletin.</w:t>
      </w:r>
    </w:p>
    <w:p w14:paraId="24EFDE4A" w14:textId="6C5A862C" w:rsidR="00D81755" w:rsidRDefault="0073296A">
      <w:pPr>
        <w:numPr>
          <w:ilvl w:val="0"/>
          <w:numId w:val="10"/>
        </w:numPr>
        <w:rPr>
          <w:color w:val="000000"/>
          <w:sz w:val="20"/>
          <w:szCs w:val="20"/>
        </w:rPr>
      </w:pPr>
      <w:r>
        <w:rPr>
          <w:color w:val="000000"/>
          <w:sz w:val="20"/>
          <w:szCs w:val="20"/>
        </w:rPr>
        <w:t xml:space="preserve">All entering students must complete the online training in Academic Integrity and Avoidance of Plagiarism </w:t>
      </w:r>
      <w:r>
        <w:rPr>
          <w:sz w:val="20"/>
          <w:szCs w:val="20"/>
        </w:rPr>
        <w:t>before</w:t>
      </w:r>
      <w:r w:rsidR="000567C6">
        <w:rPr>
          <w:sz w:val="20"/>
          <w:szCs w:val="20"/>
        </w:rPr>
        <w:t xml:space="preserve"> </w:t>
      </w:r>
      <w:r>
        <w:rPr>
          <w:color w:val="000000"/>
          <w:sz w:val="20"/>
          <w:szCs w:val="20"/>
        </w:rPr>
        <w:t>Orientation</w:t>
      </w:r>
    </w:p>
    <w:p w14:paraId="24EFDE4B" w14:textId="77777777" w:rsidR="00D81755" w:rsidRDefault="0073296A">
      <w:pPr>
        <w:numPr>
          <w:ilvl w:val="0"/>
          <w:numId w:val="10"/>
        </w:numPr>
        <w:rPr>
          <w:color w:val="000000"/>
          <w:sz w:val="20"/>
          <w:szCs w:val="20"/>
        </w:rPr>
      </w:pPr>
      <w:r>
        <w:rPr>
          <w:color w:val="000000"/>
          <w:sz w:val="20"/>
          <w:szCs w:val="20"/>
        </w:rPr>
        <w:t>All entering students must complete an initial self-assessment based on their respective programs’ competency model(s).</w:t>
      </w:r>
    </w:p>
    <w:p w14:paraId="24EFDE4C" w14:textId="77777777" w:rsidR="00D81755" w:rsidRDefault="0073296A">
      <w:pPr>
        <w:numPr>
          <w:ilvl w:val="0"/>
          <w:numId w:val="10"/>
        </w:numPr>
        <w:rPr>
          <w:color w:val="000000"/>
          <w:sz w:val="20"/>
          <w:szCs w:val="20"/>
        </w:rPr>
      </w:pPr>
      <w:r>
        <w:rPr>
          <w:color w:val="000000"/>
          <w:sz w:val="20"/>
          <w:szCs w:val="20"/>
        </w:rPr>
        <w:t>All entering students must meet conditions as outlined in the offer of admission. Conditions are either required prior to the start of semester or prior to continuation in the program. Admitted students with questions regarding their conditional offers should speak with the Associate Director for Academic &amp; Student Affairs.</w:t>
      </w:r>
    </w:p>
    <w:p w14:paraId="24EFDE4D" w14:textId="77777777" w:rsidR="00D81755" w:rsidRDefault="00D81755">
      <w:pPr>
        <w:jc w:val="both"/>
        <w:rPr>
          <w:sz w:val="20"/>
          <w:szCs w:val="20"/>
        </w:rPr>
      </w:pPr>
    </w:p>
    <w:p w14:paraId="24EFDE4E" w14:textId="77777777" w:rsidR="00D81755" w:rsidRDefault="0073296A">
      <w:pPr>
        <w:jc w:val="both"/>
        <w:rPr>
          <w:sz w:val="20"/>
          <w:szCs w:val="20"/>
        </w:rPr>
      </w:pPr>
      <w:r>
        <w:rPr>
          <w:sz w:val="20"/>
          <w:szCs w:val="20"/>
        </w:rPr>
        <w:t xml:space="preserve">Also, it is expected that incoming students will be computer literate and email </w:t>
      </w:r>
      <w:proofErr w:type="gramStart"/>
      <w:r>
        <w:rPr>
          <w:sz w:val="20"/>
          <w:szCs w:val="20"/>
        </w:rPr>
        <w:t>capable, and</w:t>
      </w:r>
      <w:proofErr w:type="gramEnd"/>
      <w:r>
        <w:rPr>
          <w:sz w:val="20"/>
          <w:szCs w:val="20"/>
        </w:rPr>
        <w:t xml:space="preserve"> have library skills sufficient for graduate work. For students with deficiencies in these areas, resources are available through the Health Sciences Center Library to acquire or update them.</w:t>
      </w:r>
    </w:p>
    <w:p w14:paraId="24EFDE4F" w14:textId="77777777" w:rsidR="00D81755" w:rsidRDefault="00D81755">
      <w:pPr>
        <w:jc w:val="both"/>
        <w:rPr>
          <w:sz w:val="20"/>
          <w:szCs w:val="20"/>
        </w:rPr>
      </w:pPr>
    </w:p>
    <w:p w14:paraId="24EFDE50" w14:textId="77777777" w:rsidR="00D81755" w:rsidRDefault="00D81755">
      <w:pPr>
        <w:spacing w:before="160" w:after="160"/>
      </w:pPr>
    </w:p>
    <w:p w14:paraId="24EFDE51" w14:textId="77777777" w:rsidR="00D81755" w:rsidRDefault="0073296A">
      <w:pPr>
        <w:rPr>
          <w:b/>
          <w:bCs/>
        </w:rPr>
      </w:pPr>
      <w:r>
        <w:br w:type="page"/>
      </w:r>
    </w:p>
    <w:p w14:paraId="24EFDE52" w14:textId="77777777" w:rsidR="00D81755" w:rsidRDefault="0073296A">
      <w:pPr>
        <w:pStyle w:val="Heading1"/>
      </w:pPr>
      <w:bookmarkStart w:id="30" w:name="_heading=h.30ei2a5h1ygc" w:colFirst="0" w:colLast="0"/>
      <w:bookmarkEnd w:id="30"/>
      <w:r>
        <w:lastRenderedPageBreak/>
        <w:t>COMBINED AND CONCURRENT DEGREE PROGRAMS</w:t>
      </w:r>
    </w:p>
    <w:p w14:paraId="24EFDE53" w14:textId="77777777" w:rsidR="00D81755" w:rsidRDefault="00D81755">
      <w:pPr>
        <w:pBdr>
          <w:top w:val="nil"/>
          <w:left w:val="nil"/>
          <w:bottom w:val="nil"/>
          <w:right w:val="nil"/>
          <w:between w:val="nil"/>
        </w:pBdr>
        <w:jc w:val="both"/>
        <w:rPr>
          <w:b/>
          <w:bCs/>
          <w:color w:val="000000"/>
          <w:sz w:val="20"/>
          <w:szCs w:val="20"/>
        </w:rPr>
      </w:pPr>
    </w:p>
    <w:p w14:paraId="24EFDE54" w14:textId="77777777" w:rsidR="00D81755" w:rsidRDefault="0073296A">
      <w:pPr>
        <w:pBdr>
          <w:top w:val="nil"/>
          <w:left w:val="nil"/>
          <w:bottom w:val="nil"/>
          <w:right w:val="nil"/>
          <w:between w:val="nil"/>
        </w:pBdr>
        <w:jc w:val="both"/>
        <w:rPr>
          <w:b/>
          <w:bCs/>
          <w:color w:val="666699"/>
          <w:sz w:val="20"/>
          <w:szCs w:val="20"/>
          <w:u w:val="single"/>
        </w:rPr>
      </w:pPr>
      <w:r>
        <w:rPr>
          <w:b/>
          <w:bCs/>
          <w:color w:val="000000"/>
          <w:sz w:val="20"/>
          <w:szCs w:val="20"/>
        </w:rPr>
        <w:t>Combined Undergraduate Programs</w:t>
      </w:r>
      <w:r>
        <w:rPr>
          <w:b/>
          <w:bCs/>
          <w:color w:val="000000"/>
          <w:sz w:val="20"/>
          <w:szCs w:val="20"/>
          <w:u w:val="single"/>
        </w:rPr>
        <w:t xml:space="preserve"> </w:t>
      </w:r>
    </w:p>
    <w:p w14:paraId="24EFDE55" w14:textId="77777777" w:rsidR="00D81755" w:rsidRDefault="0073296A">
      <w:pPr>
        <w:pBdr>
          <w:top w:val="nil"/>
          <w:left w:val="nil"/>
          <w:bottom w:val="nil"/>
          <w:right w:val="nil"/>
          <w:between w:val="nil"/>
        </w:pBdr>
        <w:rPr>
          <w:b/>
          <w:bCs/>
          <w:color w:val="000000"/>
          <w:sz w:val="20"/>
          <w:szCs w:val="20"/>
          <w:u w:val="single"/>
        </w:rPr>
      </w:pPr>
      <w:r>
        <w:rPr>
          <w:color w:val="000000"/>
          <w:sz w:val="20"/>
          <w:szCs w:val="20"/>
        </w:rPr>
        <w:t xml:space="preserve">The </w:t>
      </w:r>
      <w:r>
        <w:rPr>
          <w:i/>
          <w:iCs/>
          <w:color w:val="000000"/>
          <w:sz w:val="20"/>
          <w:szCs w:val="20"/>
        </w:rPr>
        <w:t>Master of Public Health degree program</w:t>
      </w:r>
      <w:r>
        <w:rPr>
          <w:color w:val="000000"/>
          <w:sz w:val="20"/>
          <w:szCs w:val="20"/>
        </w:rPr>
        <w:t xml:space="preserve"> offers several combined undergraduate degree programs including a Bachelor of Science (BS) in Applied Mathematics and Statistics/MPH; a Bachelor of Arts (BA) in Africana Studies/MPH; a Bachelor of Arts (BA) in Women's Studies/MPH; and a Bachelor of Arts (BA) in Earth and Space Sciences/ MPH.</w:t>
      </w:r>
    </w:p>
    <w:p w14:paraId="24EFDE56" w14:textId="77777777" w:rsidR="00D81755" w:rsidRDefault="0073296A">
      <w:pPr>
        <w:pBdr>
          <w:top w:val="nil"/>
          <w:left w:val="nil"/>
          <w:bottom w:val="nil"/>
          <w:right w:val="nil"/>
          <w:between w:val="nil"/>
        </w:pBdr>
        <w:rPr>
          <w:b/>
          <w:bCs/>
          <w:i/>
          <w:iCs/>
          <w:color w:val="000000"/>
          <w:sz w:val="20"/>
          <w:szCs w:val="20"/>
        </w:rPr>
      </w:pPr>
      <w:r>
        <w:rPr>
          <w:color w:val="000000"/>
          <w:sz w:val="20"/>
          <w:szCs w:val="20"/>
        </w:rPr>
        <w:t xml:space="preserve">For the first two or three years, students complete undergraduate coursework including General Education and undergraduate major requirements. During either their third or fourth year (once </w:t>
      </w:r>
      <w:proofErr w:type="gramStart"/>
      <w:r>
        <w:rPr>
          <w:color w:val="000000"/>
          <w:sz w:val="20"/>
          <w:szCs w:val="20"/>
        </w:rPr>
        <w:t>a majority of</w:t>
      </w:r>
      <w:proofErr w:type="gramEnd"/>
      <w:r>
        <w:rPr>
          <w:color w:val="000000"/>
          <w:sz w:val="20"/>
          <w:szCs w:val="20"/>
        </w:rPr>
        <w:t xml:space="preserve"> their undergraduate degree requirements are completed), students begin taking graduate courses as outlined by the plan of study. In their fifth and sixth years, students complete the remaining graduate requirements for the MPH degree</w:t>
      </w:r>
      <w:r>
        <w:rPr>
          <w:b/>
          <w:bCs/>
          <w:i/>
          <w:iCs/>
          <w:color w:val="000000"/>
          <w:sz w:val="20"/>
          <w:szCs w:val="20"/>
        </w:rPr>
        <w:t>.</w:t>
      </w:r>
      <w:r>
        <w:rPr>
          <w:b/>
          <w:bCs/>
          <w:i/>
          <w:iCs/>
          <w:color w:val="000000"/>
          <w:sz w:val="20"/>
          <w:szCs w:val="20"/>
        </w:rPr>
        <w:br/>
      </w:r>
    </w:p>
    <w:p w14:paraId="24EFDE57" w14:textId="77777777" w:rsidR="00D81755" w:rsidRDefault="0073296A">
      <w:pPr>
        <w:pBdr>
          <w:top w:val="nil"/>
          <w:left w:val="nil"/>
          <w:bottom w:val="nil"/>
          <w:right w:val="nil"/>
          <w:between w:val="nil"/>
        </w:pBdr>
        <w:spacing w:after="280"/>
        <w:rPr>
          <w:color w:val="000000"/>
          <w:sz w:val="20"/>
          <w:szCs w:val="20"/>
        </w:rPr>
      </w:pPr>
      <w:r>
        <w:rPr>
          <w:b/>
          <w:bCs/>
          <w:i/>
          <w:iCs/>
          <w:color w:val="000000"/>
          <w:sz w:val="20"/>
          <w:szCs w:val="20"/>
        </w:rPr>
        <w:t>Admission Requirements</w:t>
      </w:r>
      <w:r>
        <w:rPr>
          <w:b/>
          <w:bCs/>
          <w:i/>
          <w:iCs/>
          <w:color w:val="000000"/>
          <w:sz w:val="20"/>
          <w:szCs w:val="20"/>
        </w:rPr>
        <w:br/>
      </w:r>
      <w:r>
        <w:rPr>
          <w:color w:val="000000"/>
          <w:sz w:val="20"/>
          <w:szCs w:val="20"/>
        </w:rPr>
        <w:t>Under Stony Brook policy, students must complete 60 credits of undergraduate course work (Junior Status) with a minimum GPA of 3.0 in all college work before being admitted into any combined Bachelor/</w:t>
      </w:r>
      <w:proofErr w:type="gramStart"/>
      <w:r>
        <w:rPr>
          <w:color w:val="000000"/>
          <w:sz w:val="20"/>
          <w:szCs w:val="20"/>
        </w:rPr>
        <w:t>Master</w:t>
      </w:r>
      <w:proofErr w:type="gramEnd"/>
      <w:r>
        <w:rPr>
          <w:color w:val="000000"/>
          <w:sz w:val="20"/>
          <w:szCs w:val="20"/>
        </w:rPr>
        <w:t xml:space="preserve"> degree program. Additional entry requirements for the MPH combined degree consist of: </w:t>
      </w:r>
    </w:p>
    <w:p w14:paraId="24EFDE58" w14:textId="77777777" w:rsidR="00D81755" w:rsidRDefault="0073296A">
      <w:pPr>
        <w:numPr>
          <w:ilvl w:val="0"/>
          <w:numId w:val="13"/>
        </w:numPr>
        <w:pBdr>
          <w:top w:val="nil"/>
          <w:left w:val="nil"/>
          <w:bottom w:val="nil"/>
          <w:right w:val="nil"/>
          <w:between w:val="nil"/>
        </w:pBdr>
        <w:rPr>
          <w:color w:val="000000"/>
          <w:sz w:val="20"/>
          <w:szCs w:val="20"/>
        </w:rPr>
      </w:pPr>
      <w:r>
        <w:rPr>
          <w:color w:val="000000"/>
          <w:sz w:val="20"/>
          <w:szCs w:val="20"/>
        </w:rPr>
        <w:t xml:space="preserve">GPA of at least 3.3 for courses required in undergraduate major </w:t>
      </w:r>
    </w:p>
    <w:p w14:paraId="24EFDE59" w14:textId="77777777" w:rsidR="00D81755" w:rsidRDefault="0073296A">
      <w:pPr>
        <w:numPr>
          <w:ilvl w:val="0"/>
          <w:numId w:val="13"/>
        </w:numPr>
        <w:pBdr>
          <w:top w:val="nil"/>
          <w:left w:val="nil"/>
          <w:bottom w:val="nil"/>
          <w:right w:val="nil"/>
          <w:between w:val="nil"/>
        </w:pBdr>
        <w:rPr>
          <w:color w:val="000000"/>
          <w:sz w:val="20"/>
          <w:szCs w:val="20"/>
        </w:rPr>
      </w:pPr>
      <w:r>
        <w:rPr>
          <w:color w:val="000000"/>
          <w:sz w:val="20"/>
          <w:szCs w:val="20"/>
        </w:rPr>
        <w:t>Two letters of recommendation from faculty members in the undergraduate major</w:t>
      </w:r>
    </w:p>
    <w:p w14:paraId="24EFDE5A" w14:textId="77777777" w:rsidR="00D81755" w:rsidRDefault="0073296A">
      <w:pPr>
        <w:numPr>
          <w:ilvl w:val="0"/>
          <w:numId w:val="13"/>
        </w:numPr>
        <w:spacing w:after="280"/>
        <w:rPr>
          <w:sz w:val="20"/>
          <w:szCs w:val="20"/>
        </w:rPr>
      </w:pPr>
      <w:r>
        <w:rPr>
          <w:sz w:val="20"/>
          <w:szCs w:val="20"/>
        </w:rPr>
        <w:t xml:space="preserve">Completion of the MPH online application, using SOPHAS Express, the centralized application for schools and programs in public health, for review by the MPH Admissions Committee </w:t>
      </w:r>
    </w:p>
    <w:p w14:paraId="24EFDE5B" w14:textId="77777777" w:rsidR="00D81755" w:rsidRDefault="0073296A">
      <w:pPr>
        <w:rPr>
          <w:sz w:val="20"/>
          <w:szCs w:val="20"/>
        </w:rPr>
      </w:pPr>
      <w:r>
        <w:rPr>
          <w:b/>
          <w:bCs/>
          <w:sz w:val="20"/>
          <w:szCs w:val="20"/>
        </w:rPr>
        <w:t>Dual and Concurrent Graduate Programs</w:t>
      </w:r>
      <w:r>
        <w:rPr>
          <w:b/>
          <w:bCs/>
          <w:sz w:val="20"/>
          <w:szCs w:val="20"/>
        </w:rPr>
        <w:br/>
      </w:r>
      <w:r>
        <w:rPr>
          <w:sz w:val="20"/>
          <w:szCs w:val="20"/>
        </w:rPr>
        <w:t xml:space="preserve">The </w:t>
      </w:r>
      <w:r>
        <w:rPr>
          <w:i/>
          <w:iCs/>
          <w:sz w:val="20"/>
          <w:szCs w:val="20"/>
        </w:rPr>
        <w:t>Master of Public Health degree program</w:t>
      </w:r>
      <w:r>
        <w:rPr>
          <w:sz w:val="20"/>
          <w:szCs w:val="20"/>
        </w:rPr>
        <w:t xml:space="preserve"> collaborates with the following programs to offer dual or concurrent programs the Master of Public Health degree: </w:t>
      </w:r>
    </w:p>
    <w:p w14:paraId="24EFDE5C" w14:textId="77777777" w:rsidR="00D81755" w:rsidRDefault="0073296A">
      <w:pPr>
        <w:numPr>
          <w:ilvl w:val="0"/>
          <w:numId w:val="15"/>
        </w:numPr>
        <w:rPr>
          <w:sz w:val="20"/>
          <w:szCs w:val="20"/>
        </w:rPr>
      </w:pPr>
      <w:r>
        <w:rPr>
          <w:sz w:val="20"/>
          <w:szCs w:val="20"/>
        </w:rPr>
        <w:t xml:space="preserve">Master of Business Administration (MBA) </w:t>
      </w:r>
    </w:p>
    <w:p w14:paraId="24EFDE5D" w14:textId="77777777" w:rsidR="00D81755" w:rsidRDefault="0073296A">
      <w:pPr>
        <w:numPr>
          <w:ilvl w:val="0"/>
          <w:numId w:val="15"/>
        </w:numPr>
        <w:rPr>
          <w:sz w:val="20"/>
          <w:szCs w:val="20"/>
        </w:rPr>
      </w:pPr>
      <w:r>
        <w:rPr>
          <w:sz w:val="20"/>
          <w:szCs w:val="20"/>
        </w:rPr>
        <w:t>Master of Arts in Public Policy (MAPP)</w:t>
      </w:r>
    </w:p>
    <w:p w14:paraId="24EFDE5E" w14:textId="77777777" w:rsidR="00D81755" w:rsidRDefault="0073296A">
      <w:pPr>
        <w:numPr>
          <w:ilvl w:val="0"/>
          <w:numId w:val="15"/>
        </w:numPr>
        <w:rPr>
          <w:sz w:val="20"/>
          <w:szCs w:val="20"/>
        </w:rPr>
      </w:pPr>
      <w:r>
        <w:rPr>
          <w:sz w:val="20"/>
          <w:szCs w:val="20"/>
        </w:rPr>
        <w:t>Master of Science in Nutrition (MS) (online)</w:t>
      </w:r>
    </w:p>
    <w:p w14:paraId="24EFDE5F" w14:textId="77777777" w:rsidR="00D81755" w:rsidRDefault="0073296A">
      <w:pPr>
        <w:numPr>
          <w:ilvl w:val="0"/>
          <w:numId w:val="15"/>
        </w:numPr>
        <w:rPr>
          <w:sz w:val="20"/>
          <w:szCs w:val="20"/>
        </w:rPr>
      </w:pPr>
      <w:r>
        <w:rPr>
          <w:sz w:val="20"/>
          <w:szCs w:val="20"/>
        </w:rPr>
        <w:t>Master of Social Work (MSW)</w:t>
      </w:r>
    </w:p>
    <w:p w14:paraId="24EFDE60" w14:textId="77777777" w:rsidR="00D81755" w:rsidRDefault="0073296A">
      <w:pPr>
        <w:numPr>
          <w:ilvl w:val="0"/>
          <w:numId w:val="15"/>
        </w:numPr>
        <w:rPr>
          <w:sz w:val="20"/>
          <w:szCs w:val="20"/>
        </w:rPr>
      </w:pPr>
      <w:r>
        <w:rPr>
          <w:sz w:val="20"/>
          <w:szCs w:val="20"/>
        </w:rPr>
        <w:t>Doctor of Medicine (MD)</w:t>
      </w:r>
    </w:p>
    <w:p w14:paraId="24EFDE61" w14:textId="77777777" w:rsidR="00D81755" w:rsidRDefault="0073296A">
      <w:pPr>
        <w:numPr>
          <w:ilvl w:val="0"/>
          <w:numId w:val="15"/>
        </w:numPr>
        <w:rPr>
          <w:sz w:val="20"/>
          <w:szCs w:val="20"/>
        </w:rPr>
      </w:pPr>
      <w:r>
        <w:rPr>
          <w:sz w:val="20"/>
          <w:szCs w:val="20"/>
        </w:rPr>
        <w:t>Doctor of Dental Medicine (DDS)</w:t>
      </w:r>
    </w:p>
    <w:p w14:paraId="24EFDE62" w14:textId="77777777" w:rsidR="00D81755" w:rsidRDefault="00D81755">
      <w:pPr>
        <w:rPr>
          <w:b/>
          <w:bCs/>
          <w:i/>
          <w:iCs/>
          <w:sz w:val="20"/>
          <w:szCs w:val="20"/>
        </w:rPr>
      </w:pPr>
    </w:p>
    <w:p w14:paraId="24EFDE63" w14:textId="77777777" w:rsidR="00D81755" w:rsidRDefault="0073296A">
      <w:pPr>
        <w:pStyle w:val="Heading2"/>
      </w:pPr>
      <w:bookmarkStart w:id="31" w:name="_heading=h.qy432bp0iw2g" w:colFirst="0" w:colLast="0"/>
      <w:bookmarkEnd w:id="31"/>
      <w:r>
        <w:t>MBA/MPH</w:t>
      </w:r>
    </w:p>
    <w:p w14:paraId="24EFDE64" w14:textId="77777777" w:rsidR="00D81755" w:rsidRDefault="0073296A">
      <w:pPr>
        <w:rPr>
          <w:b/>
          <w:bCs/>
          <w:i/>
          <w:iCs/>
          <w:sz w:val="20"/>
          <w:szCs w:val="20"/>
        </w:rPr>
      </w:pPr>
      <w:r>
        <w:rPr>
          <w:sz w:val="20"/>
          <w:szCs w:val="20"/>
        </w:rPr>
        <w:t xml:space="preserve">In collaboration with the College of Business, we offer a dual MBA/MPH degree which prepares students for a management career in the health field. The MBA/MPH program includes about 20 credits of overlap, which reduces the total number of credits in the combined program to 81. Students select </w:t>
      </w:r>
      <w:proofErr w:type="gramStart"/>
      <w:r>
        <w:rPr>
          <w:sz w:val="20"/>
          <w:szCs w:val="20"/>
        </w:rPr>
        <w:t>a</w:t>
      </w:r>
      <w:proofErr w:type="gramEnd"/>
      <w:r>
        <w:rPr>
          <w:sz w:val="20"/>
          <w:szCs w:val="20"/>
        </w:rPr>
        <w:t xml:space="preserve"> MPH concentration in any of the four concentrations: Climate Solutions and Health, Community Health, Epidemiology and Biostatistics, or Health Policy and Management. Students receive both degrees upon completion of the entire program.</w:t>
      </w:r>
    </w:p>
    <w:p w14:paraId="24EFDE65" w14:textId="77777777" w:rsidR="00D81755" w:rsidRDefault="0073296A">
      <w:pPr>
        <w:pBdr>
          <w:top w:val="nil"/>
          <w:left w:val="nil"/>
          <w:bottom w:val="nil"/>
          <w:right w:val="nil"/>
          <w:between w:val="nil"/>
        </w:pBdr>
        <w:jc w:val="both"/>
        <w:rPr>
          <w:color w:val="000000"/>
          <w:sz w:val="20"/>
          <w:szCs w:val="20"/>
        </w:rPr>
      </w:pPr>
      <w:r>
        <w:rPr>
          <w:i/>
          <w:iCs/>
          <w:color w:val="000000"/>
          <w:sz w:val="20"/>
          <w:szCs w:val="20"/>
        </w:rPr>
        <w:t>Special Note:</w:t>
      </w:r>
      <w:r>
        <w:rPr>
          <w:color w:val="000000"/>
          <w:sz w:val="20"/>
          <w:szCs w:val="20"/>
        </w:rPr>
        <w:t xml:space="preserve"> Students in the combined MBA/MPH program pay the graduate MBA tuition rate. For more information visit: </w:t>
      </w:r>
      <w:hyperlink r:id="rId28">
        <w:r>
          <w:rPr>
            <w:color w:val="0000FF"/>
            <w:sz w:val="20"/>
            <w:szCs w:val="20"/>
            <w:u w:val="single"/>
          </w:rPr>
          <w:t>http://www.stonybrook.edu/bursar</w:t>
        </w:r>
      </w:hyperlink>
      <w:r>
        <w:rPr>
          <w:color w:val="000000"/>
          <w:sz w:val="20"/>
          <w:szCs w:val="20"/>
        </w:rPr>
        <w:t xml:space="preserve">. </w:t>
      </w:r>
    </w:p>
    <w:p w14:paraId="24EFDE66" w14:textId="77777777" w:rsidR="00D81755" w:rsidRDefault="00D81755">
      <w:pPr>
        <w:rPr>
          <w:b/>
          <w:bCs/>
          <w:i/>
          <w:iCs/>
          <w:sz w:val="20"/>
          <w:szCs w:val="20"/>
        </w:rPr>
      </w:pPr>
    </w:p>
    <w:p w14:paraId="24EFDE67" w14:textId="77777777" w:rsidR="00D81755" w:rsidRDefault="0073296A">
      <w:pPr>
        <w:pStyle w:val="Heading2"/>
      </w:pPr>
      <w:bookmarkStart w:id="32" w:name="_heading=h.ixxm9umejut7" w:colFirst="0" w:colLast="0"/>
      <w:bookmarkEnd w:id="32"/>
      <w:r>
        <w:t>MPH/MAPP</w:t>
      </w:r>
    </w:p>
    <w:p w14:paraId="24EFDE68" w14:textId="77777777" w:rsidR="00D81755" w:rsidRDefault="0073296A">
      <w:pPr>
        <w:jc w:val="both"/>
        <w:rPr>
          <w:sz w:val="20"/>
          <w:szCs w:val="20"/>
        </w:rPr>
      </w:pPr>
      <w:r>
        <w:rPr>
          <w:sz w:val="20"/>
          <w:szCs w:val="20"/>
        </w:rPr>
        <w:t xml:space="preserve">In collaboration with the Political Science Department, we offer a combined MPH/MAPP degree that prepares students for a career in public health administration and </w:t>
      </w:r>
      <w:proofErr w:type="gramStart"/>
      <w:r>
        <w:rPr>
          <w:sz w:val="20"/>
          <w:szCs w:val="20"/>
        </w:rPr>
        <w:t>policy-making</w:t>
      </w:r>
      <w:proofErr w:type="gramEnd"/>
      <w:r>
        <w:rPr>
          <w:sz w:val="20"/>
          <w:szCs w:val="20"/>
        </w:rPr>
        <w:t>. The MPH/MAPP program includes about 24 credits of overlap, which reduces the total number of credits in the combined program to 63-66. Students select an MPH concentration in any of the four concentrations: Climate Solutions and Health, Community Health, Epidemiology and Biostatistics, or Health Policy and Management. Students receive both degrees upon completion of the entire program.</w:t>
      </w:r>
    </w:p>
    <w:p w14:paraId="24EFDE69" w14:textId="77777777" w:rsidR="00D81755" w:rsidRDefault="00D81755">
      <w:pPr>
        <w:jc w:val="both"/>
        <w:rPr>
          <w:sz w:val="20"/>
          <w:szCs w:val="20"/>
        </w:rPr>
      </w:pPr>
    </w:p>
    <w:p w14:paraId="24EFDE6A" w14:textId="77777777" w:rsidR="00D81755" w:rsidRDefault="0073296A">
      <w:pPr>
        <w:pStyle w:val="Heading2"/>
      </w:pPr>
      <w:bookmarkStart w:id="33" w:name="_heading=h.n1r1jnsd4l4z" w:colFirst="0" w:colLast="0"/>
      <w:bookmarkEnd w:id="33"/>
      <w:r>
        <w:t>MPH/MS in Nutrition</w:t>
      </w:r>
    </w:p>
    <w:p w14:paraId="24EFDE6B" w14:textId="77777777" w:rsidR="00D81755" w:rsidRDefault="0073296A">
      <w:pPr>
        <w:jc w:val="both"/>
        <w:rPr>
          <w:sz w:val="20"/>
          <w:szCs w:val="20"/>
        </w:rPr>
      </w:pPr>
      <w:r>
        <w:rPr>
          <w:sz w:val="20"/>
          <w:szCs w:val="20"/>
        </w:rPr>
        <w:t>In collaboration with the Department of Family, Population and Preventive Medicine, Program in Nutrition, we offer a combined MPH/MS in Nutrition degree for individuals who are interested in leadership roles in which knowledge of nutrition is both marketable and practical.  The MPH/MS Nutrition program includes 12-15 credits of overlap, which reduces the total number of credits in the combined program to 75-78 (depending on the MPH concentration). Students select an MPH concentration in Climate Solutions and Health, Community Health, Epidemiology and Biostatistics, or Health Policy and Management. Students receive both degrees upon completion of the entire program.  All MPH courses are offered on-site.  All Nutrition courses are offered online.</w:t>
      </w:r>
    </w:p>
    <w:p w14:paraId="24EFDE6C" w14:textId="77777777" w:rsidR="00D81755" w:rsidRDefault="00D81755">
      <w:pPr>
        <w:jc w:val="both"/>
        <w:rPr>
          <w:sz w:val="20"/>
          <w:szCs w:val="20"/>
        </w:rPr>
      </w:pPr>
    </w:p>
    <w:p w14:paraId="24EFDE6D" w14:textId="77777777" w:rsidR="00D81755" w:rsidRDefault="0073296A">
      <w:pPr>
        <w:pStyle w:val="Heading2"/>
      </w:pPr>
      <w:bookmarkStart w:id="34" w:name="_heading=h.6euquuajongm" w:colFirst="0" w:colLast="0"/>
      <w:bookmarkEnd w:id="34"/>
      <w:r>
        <w:lastRenderedPageBreak/>
        <w:t>MSW/MPH</w:t>
      </w:r>
    </w:p>
    <w:p w14:paraId="24EFDE6E" w14:textId="77777777" w:rsidR="00D81755" w:rsidRDefault="0073296A">
      <w:pPr>
        <w:jc w:val="both"/>
        <w:rPr>
          <w:sz w:val="20"/>
          <w:szCs w:val="20"/>
        </w:rPr>
      </w:pPr>
      <w:r>
        <w:rPr>
          <w:sz w:val="20"/>
          <w:szCs w:val="20"/>
        </w:rPr>
        <w:t>In collaboration with the School of Social Welfare, we offer a dual MSW/MPH.  Public Health Social Work is a rapidly expanding field of practice. These professionals work directly with individuals to improve their lives and conduct rigorous data analysis to promote the well-being of local and global communities.</w:t>
      </w:r>
    </w:p>
    <w:p w14:paraId="24EFDE6F" w14:textId="77777777" w:rsidR="00D81755" w:rsidRDefault="0073296A">
      <w:pPr>
        <w:jc w:val="both"/>
        <w:rPr>
          <w:sz w:val="20"/>
          <w:szCs w:val="20"/>
        </w:rPr>
      </w:pPr>
      <w:r>
        <w:rPr>
          <w:sz w:val="20"/>
          <w:szCs w:val="20"/>
        </w:rPr>
        <w:t xml:space="preserve">Public health social workers are comprehensively trained to understand and address social issues affecting the health of individuals, families, communities, and populations, such as homelessness, substance use, violence, and environmental contamination. </w:t>
      </w:r>
    </w:p>
    <w:p w14:paraId="24EFDE70" w14:textId="77777777" w:rsidR="00D81755" w:rsidRDefault="0073296A">
      <w:pPr>
        <w:rPr>
          <w:sz w:val="20"/>
          <w:szCs w:val="20"/>
        </w:rPr>
      </w:pPr>
      <w:r>
        <w:rPr>
          <w:sz w:val="20"/>
          <w:szCs w:val="20"/>
        </w:rPr>
        <w:t>Students select an MPH concentration in any of the five concentrations: Climate Solutions and Health, Community Health, Epidemiology and Biostatistics, Health Policy and Management, or Generalist. Students receive both degrees upon completion of the entire program.</w:t>
      </w:r>
    </w:p>
    <w:p w14:paraId="24EFDE71" w14:textId="77777777" w:rsidR="00D81755" w:rsidRDefault="00D81755">
      <w:pPr>
        <w:rPr>
          <w:sz w:val="20"/>
          <w:szCs w:val="20"/>
        </w:rPr>
      </w:pPr>
    </w:p>
    <w:p w14:paraId="24EFDE72" w14:textId="77777777" w:rsidR="00D81755" w:rsidRDefault="0073296A">
      <w:pPr>
        <w:pBdr>
          <w:top w:val="nil"/>
          <w:left w:val="nil"/>
          <w:bottom w:val="nil"/>
          <w:right w:val="nil"/>
          <w:between w:val="nil"/>
        </w:pBdr>
        <w:spacing w:after="160" w:line="256" w:lineRule="auto"/>
        <w:rPr>
          <w:color w:val="000000"/>
          <w:sz w:val="20"/>
          <w:szCs w:val="20"/>
        </w:rPr>
      </w:pPr>
      <w:r>
        <w:rPr>
          <w:color w:val="000000"/>
          <w:sz w:val="20"/>
          <w:szCs w:val="20"/>
        </w:rPr>
        <w:t>Students interested in this dual degree program should contact Dr. Amy Hammock,</w:t>
      </w:r>
      <w:r>
        <w:rPr>
          <w:b/>
          <w:bCs/>
          <w:color w:val="000000"/>
          <w:sz w:val="20"/>
          <w:szCs w:val="20"/>
        </w:rPr>
        <w:t xml:space="preserve"> </w:t>
      </w:r>
      <w:r>
        <w:rPr>
          <w:color w:val="000000"/>
          <w:sz w:val="20"/>
          <w:szCs w:val="20"/>
        </w:rPr>
        <w:t>Faculty Advisor and Liaison to the MSW-MPH Dual Degree Program</w:t>
      </w:r>
    </w:p>
    <w:p w14:paraId="24EFDE73" w14:textId="77777777" w:rsidR="00D81755" w:rsidRDefault="0073296A">
      <w:pPr>
        <w:pBdr>
          <w:top w:val="nil"/>
          <w:left w:val="nil"/>
          <w:bottom w:val="nil"/>
          <w:right w:val="nil"/>
          <w:between w:val="nil"/>
        </w:pBdr>
        <w:jc w:val="both"/>
        <w:rPr>
          <w:color w:val="000000"/>
          <w:sz w:val="20"/>
          <w:szCs w:val="20"/>
        </w:rPr>
      </w:pPr>
      <w:r>
        <w:rPr>
          <w:i/>
          <w:iCs/>
          <w:color w:val="000000"/>
          <w:sz w:val="20"/>
          <w:szCs w:val="20"/>
        </w:rPr>
        <w:t>Special Note:</w:t>
      </w:r>
      <w:r>
        <w:rPr>
          <w:color w:val="000000"/>
          <w:sz w:val="20"/>
          <w:szCs w:val="20"/>
        </w:rPr>
        <w:t xml:space="preserve"> Students in the combined MSW/MPH program pay the graduate MSW tuition rate upon matriculation into the MSW program. For more information visit: </w:t>
      </w:r>
      <w:hyperlink r:id="rId29">
        <w:r>
          <w:rPr>
            <w:color w:val="0000FF"/>
            <w:sz w:val="20"/>
            <w:szCs w:val="20"/>
            <w:u w:val="single"/>
          </w:rPr>
          <w:t>http://www.stonybrook.edu/bursar</w:t>
        </w:r>
      </w:hyperlink>
      <w:r>
        <w:rPr>
          <w:color w:val="000000"/>
          <w:sz w:val="20"/>
          <w:szCs w:val="20"/>
        </w:rPr>
        <w:t xml:space="preserve">. </w:t>
      </w:r>
    </w:p>
    <w:p w14:paraId="24EFDE74" w14:textId="77777777" w:rsidR="00D81755" w:rsidRDefault="00D81755">
      <w:pPr>
        <w:pBdr>
          <w:top w:val="nil"/>
          <w:left w:val="nil"/>
          <w:bottom w:val="nil"/>
          <w:right w:val="nil"/>
          <w:between w:val="nil"/>
        </w:pBdr>
        <w:jc w:val="both"/>
        <w:rPr>
          <w:b/>
          <w:bCs/>
          <w:i/>
          <w:iCs/>
          <w:color w:val="000000"/>
          <w:sz w:val="20"/>
          <w:szCs w:val="20"/>
        </w:rPr>
      </w:pPr>
    </w:p>
    <w:p w14:paraId="24EFDE75" w14:textId="77777777" w:rsidR="00D81755" w:rsidRDefault="0073296A">
      <w:pPr>
        <w:pStyle w:val="Heading2"/>
      </w:pPr>
      <w:bookmarkStart w:id="35" w:name="_heading=h.l89xi8p6iuow" w:colFirst="0" w:colLast="0"/>
      <w:bookmarkEnd w:id="35"/>
      <w:r>
        <w:t>ADMISSION REQUIREMENTS FOR COMBINED DEGREE PROGRAMS</w:t>
      </w:r>
    </w:p>
    <w:p w14:paraId="24EFDE76" w14:textId="77777777" w:rsidR="00D81755" w:rsidRDefault="0073296A">
      <w:pPr>
        <w:pBdr>
          <w:top w:val="nil"/>
          <w:left w:val="nil"/>
          <w:bottom w:val="nil"/>
          <w:right w:val="nil"/>
          <w:between w:val="nil"/>
        </w:pBdr>
        <w:jc w:val="both"/>
        <w:rPr>
          <w:b/>
          <w:bCs/>
          <w:i/>
          <w:iCs/>
          <w:color w:val="000000"/>
          <w:sz w:val="20"/>
          <w:szCs w:val="20"/>
        </w:rPr>
      </w:pPr>
      <w:r>
        <w:rPr>
          <w:color w:val="000000"/>
          <w:sz w:val="20"/>
          <w:szCs w:val="20"/>
        </w:rPr>
        <w:t>Applicants who wish to be considered for admission into the combined MBA/MPH, MPH/MAPP, or MPH/MS in Nutrition degree program must comply with all admission requirements for the MPH degree alone. The MPH Admissions Committee reviews completed applications initially and recommends eligible applicants to the College of Business Admissions Committee, Political Science Department, or Nutrition Program, respectively, for final approval.  Applicants to the MSW/MPH dual degree program must complete both the MSW and the MPH applications.</w:t>
      </w:r>
    </w:p>
    <w:p w14:paraId="24EFDE77" w14:textId="77777777" w:rsidR="00D81755" w:rsidRDefault="0073296A">
      <w:pPr>
        <w:numPr>
          <w:ilvl w:val="0"/>
          <w:numId w:val="1"/>
        </w:numPr>
        <w:pBdr>
          <w:top w:val="nil"/>
          <w:left w:val="nil"/>
          <w:bottom w:val="nil"/>
          <w:right w:val="nil"/>
          <w:between w:val="nil"/>
        </w:pBdr>
        <w:rPr>
          <w:color w:val="000000"/>
          <w:sz w:val="20"/>
          <w:szCs w:val="20"/>
        </w:rPr>
      </w:pPr>
      <w:r>
        <w:rPr>
          <w:i/>
          <w:iCs/>
          <w:color w:val="000000"/>
          <w:sz w:val="20"/>
          <w:szCs w:val="20"/>
        </w:rPr>
        <w:t>MPH/MS in Nutrition additional requirements:</w:t>
      </w:r>
    </w:p>
    <w:p w14:paraId="24EFDE78" w14:textId="77777777" w:rsidR="00D81755" w:rsidRDefault="0073296A">
      <w:pPr>
        <w:numPr>
          <w:ilvl w:val="1"/>
          <w:numId w:val="1"/>
        </w:numPr>
        <w:rPr>
          <w:sz w:val="20"/>
          <w:szCs w:val="20"/>
        </w:rPr>
      </w:pPr>
      <w:r>
        <w:rPr>
          <w:sz w:val="20"/>
          <w:szCs w:val="20"/>
        </w:rPr>
        <w:t>Physiology (laboratory not required)</w:t>
      </w:r>
    </w:p>
    <w:p w14:paraId="24EFDE79" w14:textId="77777777" w:rsidR="00D81755" w:rsidRDefault="0073296A">
      <w:pPr>
        <w:numPr>
          <w:ilvl w:val="1"/>
          <w:numId w:val="1"/>
        </w:numPr>
        <w:spacing w:after="280"/>
        <w:rPr>
          <w:sz w:val="20"/>
          <w:szCs w:val="20"/>
        </w:rPr>
      </w:pPr>
      <w:r>
        <w:rPr>
          <w:sz w:val="20"/>
          <w:szCs w:val="20"/>
        </w:rPr>
        <w:t>A nutrition course if the undergraduate degree is not in nutrition/dietetics. Prospective students can take the </w:t>
      </w:r>
      <w:r>
        <w:rPr>
          <w:i/>
          <w:iCs/>
          <w:sz w:val="20"/>
          <w:szCs w:val="20"/>
        </w:rPr>
        <w:t>Survey of Nutrition </w:t>
      </w:r>
      <w:r>
        <w:rPr>
          <w:sz w:val="20"/>
          <w:szCs w:val="20"/>
        </w:rPr>
        <w:t>course offered by the Nutrition Program as a non-matriculated student or use a previously taken nutrition course with approval of the course syllabus by the Nutrition Program coordinator. Alternatively, prospective students can be admitted to the Nutrition Program with the condition that they successfully complete the Survey of Nutrition course.  If the student successfully completes the Survey of Nutrition course they can proceed with registration for the subsequent semester.</w:t>
      </w:r>
    </w:p>
    <w:p w14:paraId="24EFDE7A" w14:textId="77777777" w:rsidR="00D81755" w:rsidRDefault="0073296A">
      <w:pPr>
        <w:pBdr>
          <w:top w:val="nil"/>
          <w:left w:val="nil"/>
          <w:bottom w:val="nil"/>
          <w:right w:val="nil"/>
          <w:between w:val="nil"/>
        </w:pBdr>
        <w:rPr>
          <w:color w:val="000000"/>
          <w:sz w:val="20"/>
          <w:szCs w:val="20"/>
        </w:rPr>
      </w:pPr>
      <w:r>
        <w:rPr>
          <w:color w:val="000000"/>
          <w:sz w:val="20"/>
          <w:szCs w:val="20"/>
        </w:rPr>
        <w:t>For more information about these programs, contact the Associate Director for Student and Academic Affairs at (631) 444-2074.</w:t>
      </w:r>
    </w:p>
    <w:p w14:paraId="24EFDE7B" w14:textId="77777777" w:rsidR="00D81755" w:rsidRDefault="0073296A">
      <w:pPr>
        <w:pStyle w:val="Heading2"/>
      </w:pPr>
      <w:bookmarkStart w:id="36" w:name="_heading=h.91asoniygdiv" w:colFirst="0" w:colLast="0"/>
      <w:bookmarkEnd w:id="36"/>
      <w:r>
        <w:br/>
        <w:t>MD/MPH (COMBINED) &amp; DDS/MPH (CONCURRENT) Degree Programs</w:t>
      </w:r>
    </w:p>
    <w:p w14:paraId="24EFDE7C" w14:textId="77777777" w:rsidR="00D81755" w:rsidRDefault="0073296A">
      <w:pPr>
        <w:jc w:val="both"/>
        <w:rPr>
          <w:sz w:val="20"/>
          <w:szCs w:val="20"/>
        </w:rPr>
      </w:pPr>
      <w:r>
        <w:rPr>
          <w:sz w:val="20"/>
          <w:szCs w:val="20"/>
        </w:rPr>
        <w:t xml:space="preserve">The combined MD/MPH and concurrent DDS/MPH are two programs in which Stony Brook University medical and dental students complete their MPH degree during medical or dental school (4-year program – not recommended) or during medical or dental school and an additional year (5-year program - highly recommended).  All requirements of the MPH and MD or DDS degrees are met.  </w:t>
      </w:r>
    </w:p>
    <w:p w14:paraId="24EFDE7D" w14:textId="77777777" w:rsidR="00D81755" w:rsidRDefault="00D81755">
      <w:pPr>
        <w:jc w:val="both"/>
        <w:rPr>
          <w:b/>
          <w:bCs/>
          <w:i/>
          <w:iCs/>
          <w:sz w:val="20"/>
          <w:szCs w:val="20"/>
        </w:rPr>
      </w:pPr>
    </w:p>
    <w:p w14:paraId="24EFDE7E" w14:textId="77777777" w:rsidR="00D81755" w:rsidRDefault="0073296A">
      <w:pPr>
        <w:jc w:val="both"/>
        <w:rPr>
          <w:b/>
          <w:bCs/>
          <w:i/>
          <w:iCs/>
          <w:sz w:val="20"/>
          <w:szCs w:val="20"/>
        </w:rPr>
      </w:pPr>
      <w:r>
        <w:rPr>
          <w:b/>
          <w:bCs/>
          <w:i/>
          <w:iCs/>
          <w:sz w:val="20"/>
          <w:szCs w:val="20"/>
        </w:rPr>
        <w:t>Admission Requirements</w:t>
      </w:r>
    </w:p>
    <w:p w14:paraId="24EFDE7F" w14:textId="77777777" w:rsidR="00D81755" w:rsidRDefault="0073296A">
      <w:pPr>
        <w:jc w:val="both"/>
        <w:rPr>
          <w:color w:val="000000"/>
          <w:sz w:val="20"/>
          <w:szCs w:val="20"/>
        </w:rPr>
      </w:pPr>
      <w:r>
        <w:rPr>
          <w:color w:val="000000"/>
          <w:sz w:val="20"/>
          <w:szCs w:val="20"/>
        </w:rPr>
        <w:t xml:space="preserve">Applicants applying for admission to both the </w:t>
      </w:r>
      <w:r>
        <w:rPr>
          <w:i/>
          <w:iCs/>
          <w:sz w:val="20"/>
          <w:szCs w:val="20"/>
        </w:rPr>
        <w:t>Master of Public Health degree program</w:t>
      </w:r>
      <w:r>
        <w:rPr>
          <w:sz w:val="20"/>
          <w:szCs w:val="20"/>
        </w:rPr>
        <w:t xml:space="preserve"> </w:t>
      </w:r>
      <w:r>
        <w:rPr>
          <w:color w:val="000000"/>
          <w:sz w:val="20"/>
          <w:szCs w:val="20"/>
        </w:rPr>
        <w:t>and the School of Medicine (SOM) or School of Dental Medicine (SDM) need the following information:</w:t>
      </w:r>
    </w:p>
    <w:p w14:paraId="24EFDE80" w14:textId="77777777" w:rsidR="00D81755" w:rsidRDefault="0073296A">
      <w:pPr>
        <w:numPr>
          <w:ilvl w:val="0"/>
          <w:numId w:val="22"/>
        </w:numPr>
        <w:jc w:val="both"/>
        <w:rPr>
          <w:color w:val="000000"/>
          <w:sz w:val="20"/>
          <w:szCs w:val="20"/>
        </w:rPr>
      </w:pPr>
      <w:r>
        <w:rPr>
          <w:color w:val="000000"/>
          <w:sz w:val="20"/>
          <w:szCs w:val="20"/>
        </w:rPr>
        <w:t xml:space="preserve">The application process for the </w:t>
      </w:r>
      <w:r>
        <w:rPr>
          <w:i/>
          <w:iCs/>
          <w:sz w:val="20"/>
          <w:szCs w:val="20"/>
        </w:rPr>
        <w:t xml:space="preserve">Master of Public Health degree </w:t>
      </w:r>
      <w:proofErr w:type="gramStart"/>
      <w:r>
        <w:rPr>
          <w:i/>
          <w:iCs/>
          <w:sz w:val="20"/>
          <w:szCs w:val="20"/>
        </w:rPr>
        <w:t>program</w:t>
      </w:r>
      <w:r>
        <w:rPr>
          <w:sz w:val="20"/>
          <w:szCs w:val="20"/>
        </w:rPr>
        <w:t xml:space="preserve"> </w:t>
      </w:r>
      <w:r>
        <w:rPr>
          <w:color w:val="000000"/>
          <w:sz w:val="20"/>
          <w:szCs w:val="20"/>
        </w:rPr>
        <w:t xml:space="preserve"> is</w:t>
      </w:r>
      <w:proofErr w:type="gramEnd"/>
      <w:r>
        <w:rPr>
          <w:color w:val="000000"/>
          <w:sz w:val="20"/>
          <w:szCs w:val="20"/>
        </w:rPr>
        <w:t xml:space="preserve"> separate from the application to the SOM or SDM. Admission to one program is determined independently from admission to the other; and admission to one program does not guarantee admission to the other.</w:t>
      </w:r>
    </w:p>
    <w:p w14:paraId="24EFDE81" w14:textId="77777777" w:rsidR="00D81755" w:rsidRDefault="0073296A">
      <w:pPr>
        <w:numPr>
          <w:ilvl w:val="0"/>
          <w:numId w:val="22"/>
        </w:numPr>
        <w:jc w:val="both"/>
        <w:rPr>
          <w:color w:val="000000"/>
          <w:sz w:val="20"/>
          <w:szCs w:val="20"/>
        </w:rPr>
      </w:pPr>
      <w:r>
        <w:rPr>
          <w:color w:val="000000"/>
          <w:sz w:val="20"/>
          <w:szCs w:val="20"/>
        </w:rPr>
        <w:t xml:space="preserve">To avoid the need to send support documents to both programs, SOM or SDM applicants who also apply to the </w:t>
      </w:r>
      <w:r>
        <w:rPr>
          <w:i/>
          <w:iCs/>
          <w:sz w:val="20"/>
          <w:szCs w:val="20"/>
        </w:rPr>
        <w:t>Master of Public Health degree program</w:t>
      </w:r>
      <w:r>
        <w:rPr>
          <w:sz w:val="20"/>
          <w:szCs w:val="20"/>
        </w:rPr>
        <w:t xml:space="preserve"> </w:t>
      </w:r>
      <w:r>
        <w:rPr>
          <w:color w:val="000000"/>
          <w:sz w:val="20"/>
          <w:szCs w:val="20"/>
        </w:rPr>
        <w:t xml:space="preserve">(using SOPHAS) can request in writing that the SOM or SDM provide to the MPH Admissions Committee a copy of their support documents including official transcripts from all post-secondary schools, and letters of recommendation for their application for admission to the </w:t>
      </w:r>
      <w:r>
        <w:rPr>
          <w:i/>
          <w:iCs/>
          <w:sz w:val="20"/>
          <w:szCs w:val="20"/>
        </w:rPr>
        <w:t>Master of Public Health degree program</w:t>
      </w:r>
      <w:r>
        <w:rPr>
          <w:color w:val="000000"/>
          <w:sz w:val="20"/>
          <w:szCs w:val="20"/>
        </w:rPr>
        <w:t xml:space="preserve">.  </w:t>
      </w:r>
    </w:p>
    <w:p w14:paraId="24EFDE82" w14:textId="77777777" w:rsidR="00D81755" w:rsidRDefault="0073296A">
      <w:pPr>
        <w:numPr>
          <w:ilvl w:val="0"/>
          <w:numId w:val="22"/>
        </w:numPr>
        <w:jc w:val="both"/>
        <w:rPr>
          <w:b/>
          <w:bCs/>
          <w:sz w:val="20"/>
          <w:szCs w:val="20"/>
        </w:rPr>
      </w:pPr>
      <w:r>
        <w:rPr>
          <w:color w:val="000000"/>
          <w:sz w:val="20"/>
          <w:szCs w:val="20"/>
        </w:rPr>
        <w:t xml:space="preserve">SOM and SDM applicants who apply to the </w:t>
      </w:r>
      <w:r>
        <w:rPr>
          <w:i/>
          <w:iCs/>
          <w:sz w:val="20"/>
          <w:szCs w:val="20"/>
        </w:rPr>
        <w:t>Master of Public Health degree program</w:t>
      </w:r>
      <w:r>
        <w:rPr>
          <w:sz w:val="20"/>
          <w:szCs w:val="20"/>
        </w:rPr>
        <w:t xml:space="preserve">  </w:t>
      </w:r>
      <w:r>
        <w:rPr>
          <w:color w:val="000000"/>
          <w:sz w:val="20"/>
          <w:szCs w:val="20"/>
        </w:rPr>
        <w:t xml:space="preserve"> must provide one additional reference that addresses the applicant's public health leadership potential. </w:t>
      </w:r>
    </w:p>
    <w:p w14:paraId="24EFDE83" w14:textId="77777777" w:rsidR="00D81755" w:rsidRDefault="0073296A">
      <w:r>
        <w:rPr>
          <w:b/>
          <w:bCs/>
        </w:rPr>
        <w:br/>
      </w:r>
    </w:p>
    <w:p w14:paraId="24EFDE84" w14:textId="77777777" w:rsidR="00D81755" w:rsidRDefault="00D81755">
      <w:pPr>
        <w:pStyle w:val="Heading1"/>
        <w:shd w:val="clear" w:color="auto" w:fill="FFFFFF"/>
        <w:spacing w:before="0"/>
      </w:pPr>
    </w:p>
    <w:p w14:paraId="24EFDE85" w14:textId="77777777" w:rsidR="00D81755" w:rsidRDefault="0073296A">
      <w:pPr>
        <w:rPr>
          <w:b/>
          <w:bCs/>
        </w:rPr>
      </w:pPr>
      <w:r>
        <w:br w:type="page"/>
      </w:r>
    </w:p>
    <w:p w14:paraId="24EFDE86" w14:textId="77777777" w:rsidR="00D81755" w:rsidRDefault="0073296A">
      <w:pPr>
        <w:pStyle w:val="Heading1"/>
        <w:shd w:val="clear" w:color="auto" w:fill="FFFFFF"/>
        <w:spacing w:before="0"/>
        <w:rPr>
          <w:i/>
          <w:iCs/>
          <w:sz w:val="20"/>
          <w:szCs w:val="20"/>
        </w:rPr>
      </w:pPr>
      <w:bookmarkStart w:id="37" w:name="_heading=h.jopzqyro6mkk" w:colFirst="0" w:colLast="0"/>
      <w:bookmarkEnd w:id="37"/>
      <w:r>
        <w:lastRenderedPageBreak/>
        <w:t>ADVANCED GRADUATE CERTIFICATE</w:t>
      </w:r>
    </w:p>
    <w:p w14:paraId="24EFDE87" w14:textId="77777777" w:rsidR="00D81755" w:rsidRDefault="00D81755">
      <w:pPr>
        <w:rPr>
          <w:i/>
          <w:iCs/>
          <w:sz w:val="20"/>
          <w:szCs w:val="20"/>
        </w:rPr>
      </w:pPr>
    </w:p>
    <w:p w14:paraId="24EFDE88" w14:textId="77777777" w:rsidR="00D81755" w:rsidRDefault="0073296A">
      <w:pPr>
        <w:rPr>
          <w:i/>
          <w:iCs/>
          <w:sz w:val="20"/>
          <w:szCs w:val="20"/>
        </w:rPr>
      </w:pPr>
      <w:r>
        <w:rPr>
          <w:b/>
          <w:bCs/>
          <w:i/>
          <w:iCs/>
          <w:sz w:val="20"/>
          <w:szCs w:val="20"/>
        </w:rPr>
        <w:t>Aging Populations and Healthcare Administration</w:t>
      </w:r>
    </w:p>
    <w:p w14:paraId="24EFDE89" w14:textId="77777777" w:rsidR="00D81755" w:rsidRDefault="0073296A">
      <w:pPr>
        <w:ind w:left="720" w:hanging="360"/>
      </w:pPr>
      <w:r>
        <w:rPr>
          <w:sz w:val="20"/>
          <w:szCs w:val="20"/>
        </w:rPr>
        <w:t xml:space="preserve">The Advanced Graduate Certificate in Aging Populations and Healthcare Administration is a 15-credit program that will equip students with knowledge and skills needed to excel in leadership roles in aging care settings. Whether seeking to advance their careers or transition into a new role, graduates will be prepared to make meaningful contributions to the delivery of high-quality care for older adults and individuals with chronic illnesses or disabilities. </w:t>
      </w:r>
      <w:proofErr w:type="gramStart"/>
      <w:r>
        <w:rPr>
          <w:sz w:val="20"/>
          <w:szCs w:val="20"/>
        </w:rPr>
        <w:t>In particular, graduates</w:t>
      </w:r>
      <w:proofErr w:type="gramEnd"/>
      <w:r>
        <w:rPr>
          <w:sz w:val="20"/>
          <w:szCs w:val="20"/>
        </w:rPr>
        <w:t xml:space="preserve"> will be able to take leadership roles in settings such as nursing homes, assisted living facilities, and community-based care organizations. In addition, courses in this certificate fully address the academic record requirements to sit for the licensure exam administered by the </w:t>
      </w:r>
      <w:hyperlink r:id="rId30">
        <w:r>
          <w:rPr>
            <w:color w:val="0000FF"/>
            <w:sz w:val="20"/>
            <w:szCs w:val="20"/>
            <w:u w:val="single"/>
          </w:rPr>
          <w:t>New York State Board of Examiners of Nursing Home Administrators.</w:t>
        </w:r>
      </w:hyperlink>
    </w:p>
    <w:p w14:paraId="24EFDE8A" w14:textId="77777777" w:rsidR="00D81755" w:rsidRDefault="00D81755">
      <w:pPr>
        <w:pBdr>
          <w:top w:val="nil"/>
          <w:left w:val="nil"/>
          <w:bottom w:val="nil"/>
          <w:right w:val="nil"/>
          <w:between w:val="nil"/>
        </w:pBdr>
        <w:rPr>
          <w:b/>
          <w:bCs/>
          <w:color w:val="000000"/>
          <w:sz w:val="16"/>
          <w:szCs w:val="16"/>
        </w:rPr>
      </w:pPr>
    </w:p>
    <w:p w14:paraId="24EFDE8B" w14:textId="77777777" w:rsidR="00D81755" w:rsidRDefault="0073296A">
      <w:pPr>
        <w:rPr>
          <w:b/>
          <w:bCs/>
          <w:i/>
          <w:iCs/>
          <w:sz w:val="20"/>
          <w:szCs w:val="20"/>
        </w:rPr>
      </w:pPr>
      <w:r>
        <w:rPr>
          <w:b/>
          <w:bCs/>
          <w:i/>
          <w:iCs/>
          <w:sz w:val="20"/>
          <w:szCs w:val="20"/>
        </w:rPr>
        <w:t>Health Education and Promotion</w:t>
      </w:r>
    </w:p>
    <w:p w14:paraId="24EFDE8C" w14:textId="77777777" w:rsidR="00D81755" w:rsidRDefault="0073296A">
      <w:pPr>
        <w:pBdr>
          <w:top w:val="nil"/>
          <w:left w:val="nil"/>
          <w:bottom w:val="nil"/>
          <w:right w:val="nil"/>
          <w:between w:val="nil"/>
        </w:pBdr>
        <w:ind w:left="720" w:hanging="360"/>
        <w:rPr>
          <w:color w:val="000000"/>
          <w:sz w:val="20"/>
          <w:szCs w:val="20"/>
        </w:rPr>
      </w:pPr>
      <w:r>
        <w:rPr>
          <w:color w:val="000000"/>
          <w:sz w:val="20"/>
          <w:szCs w:val="20"/>
        </w:rPr>
        <w:t xml:space="preserve">The Advanced Graduate Certificate in Health Education and Promotion is a 25-credit program that will enhance students' knowledge, experiences, and skills in health education and promotion and positively impact their chosen career pathway in public health. It is anticipated that graduates will find or enhance employment in academic settings, research facilities, public health organizations, or health care institutions. In addition, courses in this certificate address the health education competencies that are the basis for the nationally recognized Certified Health Education Specialist (CHES) certification offered by the National Commission for Health Education Credentialing, Inc. Students completing this certificate will obtain some of the credits necessary for eligibility to take the exam. </w:t>
      </w:r>
    </w:p>
    <w:p w14:paraId="24EFDE8D" w14:textId="77777777" w:rsidR="00D81755" w:rsidRDefault="00D81755">
      <w:pPr>
        <w:pBdr>
          <w:top w:val="nil"/>
          <w:left w:val="nil"/>
          <w:bottom w:val="nil"/>
          <w:right w:val="nil"/>
          <w:between w:val="nil"/>
        </w:pBdr>
        <w:ind w:left="720" w:hanging="360"/>
        <w:rPr>
          <w:color w:val="000000"/>
          <w:sz w:val="20"/>
          <w:szCs w:val="20"/>
        </w:rPr>
      </w:pPr>
    </w:p>
    <w:p w14:paraId="24EFDE8E" w14:textId="77777777" w:rsidR="00D81755" w:rsidRDefault="0073296A">
      <w:pPr>
        <w:jc w:val="both"/>
        <w:rPr>
          <w:sz w:val="20"/>
          <w:szCs w:val="20"/>
        </w:rPr>
      </w:pPr>
      <w:r>
        <w:rPr>
          <w:sz w:val="20"/>
          <w:szCs w:val="20"/>
        </w:rPr>
        <w:t xml:space="preserve">Notes for applicants and students also pursuing a certificate program: </w:t>
      </w:r>
    </w:p>
    <w:p w14:paraId="24EFDE8F" w14:textId="77777777" w:rsidR="00D81755" w:rsidRDefault="0073296A">
      <w:pPr>
        <w:numPr>
          <w:ilvl w:val="0"/>
          <w:numId w:val="31"/>
        </w:numPr>
        <w:pBdr>
          <w:top w:val="nil"/>
          <w:left w:val="nil"/>
          <w:bottom w:val="nil"/>
          <w:right w:val="nil"/>
          <w:between w:val="nil"/>
        </w:pBdr>
        <w:jc w:val="both"/>
        <w:rPr>
          <w:color w:val="000000"/>
          <w:sz w:val="20"/>
          <w:szCs w:val="20"/>
        </w:rPr>
      </w:pPr>
      <w:r>
        <w:rPr>
          <w:color w:val="000000"/>
          <w:sz w:val="20"/>
          <w:szCs w:val="20"/>
        </w:rPr>
        <w:t>Students pursuing an Advanced Graduate Certificate concurrently with the MPH at Stony Brook may use approved courses to count towards both the certificate and degree.</w:t>
      </w:r>
    </w:p>
    <w:p w14:paraId="24EFDE90" w14:textId="77777777" w:rsidR="00D81755" w:rsidRDefault="0073296A">
      <w:pPr>
        <w:numPr>
          <w:ilvl w:val="0"/>
          <w:numId w:val="31"/>
        </w:numPr>
        <w:pBdr>
          <w:top w:val="nil"/>
          <w:left w:val="nil"/>
          <w:bottom w:val="nil"/>
          <w:right w:val="nil"/>
          <w:between w:val="nil"/>
        </w:pBdr>
        <w:jc w:val="both"/>
        <w:rPr>
          <w:color w:val="000000"/>
          <w:sz w:val="20"/>
          <w:szCs w:val="20"/>
        </w:rPr>
      </w:pPr>
      <w:r>
        <w:rPr>
          <w:color w:val="000000"/>
          <w:sz w:val="20"/>
          <w:szCs w:val="20"/>
        </w:rPr>
        <w:t xml:space="preserve">Students who have earned the Advanced Graduate Certificate prior to matriculation in the MPH will be held to the 12-credit rule outlined in the Non-Matriculated Students section of this bulletin (page 20.  </w:t>
      </w:r>
    </w:p>
    <w:p w14:paraId="24EFDE91" w14:textId="77777777" w:rsidR="00D81755" w:rsidRDefault="00D81755">
      <w:pPr>
        <w:jc w:val="both"/>
        <w:rPr>
          <w:sz w:val="20"/>
          <w:szCs w:val="20"/>
        </w:rPr>
      </w:pPr>
    </w:p>
    <w:p w14:paraId="24EFDE92" w14:textId="77777777" w:rsidR="00D81755" w:rsidRDefault="0073296A">
      <w:pPr>
        <w:jc w:val="both"/>
        <w:rPr>
          <w:sz w:val="20"/>
          <w:szCs w:val="20"/>
        </w:rPr>
      </w:pPr>
      <w:r>
        <w:rPr>
          <w:sz w:val="20"/>
          <w:szCs w:val="20"/>
        </w:rPr>
        <w:t xml:space="preserve">Students who have completed the MPH prior to acceptance into the Advanced Graduate Certificate will not be able to count MPH credits towards the certificate. In this circumstance, students may take different courses than those counted towards the MPH degree.  </w:t>
      </w:r>
    </w:p>
    <w:p w14:paraId="24EFDE93" w14:textId="77777777" w:rsidR="00D81755" w:rsidRDefault="0073296A">
      <w:pPr>
        <w:spacing w:before="40"/>
        <w:rPr>
          <w:b/>
          <w:bCs/>
        </w:rPr>
      </w:pPr>
      <w:r>
        <w:rPr>
          <w:sz w:val="20"/>
          <w:szCs w:val="20"/>
        </w:rPr>
        <w:t xml:space="preserve">For more information, visit our website:  </w:t>
      </w:r>
      <w:r>
        <w:t xml:space="preserve"> </w:t>
      </w:r>
      <w:hyperlink r:id="rId31">
        <w:r>
          <w:rPr>
            <w:color w:val="0000FF"/>
            <w:sz w:val="20"/>
            <w:szCs w:val="20"/>
            <w:u w:val="single"/>
          </w:rPr>
          <w:t>http://publichealth.stonybrookmedicine.edu/</w:t>
        </w:r>
      </w:hyperlink>
    </w:p>
    <w:p w14:paraId="24EFDE94" w14:textId="77777777" w:rsidR="00D81755" w:rsidRDefault="00D81755">
      <w:pPr>
        <w:spacing w:before="40"/>
        <w:rPr>
          <w:b/>
          <w:bCs/>
        </w:rPr>
      </w:pPr>
    </w:p>
    <w:p w14:paraId="24EFDE96" w14:textId="6FB6A93B" w:rsidR="00D81755" w:rsidRDefault="0073296A" w:rsidP="006C5661">
      <w:pPr>
        <w:jc w:val="both"/>
      </w:pPr>
      <w:hyperlink r:id="rId32" w:history="1">
        <w:r w:rsidRPr="00B21937">
          <w:rPr>
            <w:rStyle w:val="Hyperlink"/>
            <w:b/>
            <w:bCs/>
            <w:sz w:val="20"/>
            <w:szCs w:val="20"/>
          </w:rPr>
          <w:t>Curriculum Overview:</w:t>
        </w:r>
      </w:hyperlink>
      <w:r>
        <w:rPr>
          <w:b/>
          <w:bCs/>
          <w:sz w:val="20"/>
          <w:szCs w:val="20"/>
        </w:rPr>
        <w:t xml:space="preserve"> </w:t>
      </w:r>
    </w:p>
    <w:p w14:paraId="24EFDE97" w14:textId="77777777" w:rsidR="00D81755" w:rsidRDefault="0073296A">
      <w:pPr>
        <w:pStyle w:val="Heading1"/>
      </w:pPr>
      <w:bookmarkStart w:id="38" w:name="_heading=h.kq33pgm4f2s" w:colFirst="0" w:colLast="0"/>
      <w:bookmarkEnd w:id="38"/>
      <w:r>
        <w:t xml:space="preserve">THE MS in EPIDEMIOLOGY AND CLINICAL RESEARCH PROGRAM </w:t>
      </w:r>
    </w:p>
    <w:p w14:paraId="24EFDE98" w14:textId="77777777" w:rsidR="00D81755" w:rsidRDefault="0073296A">
      <w:pPr>
        <w:pStyle w:val="Heading2"/>
      </w:pPr>
      <w:bookmarkStart w:id="39" w:name="_heading=h.qedkc9w7ij3l" w:colFirst="0" w:colLast="0"/>
      <w:bookmarkEnd w:id="39"/>
      <w:r>
        <w:t xml:space="preserve">ADMISSION </w:t>
      </w:r>
    </w:p>
    <w:p w14:paraId="24EFDE99" w14:textId="77777777" w:rsidR="00D81755" w:rsidRDefault="00D81755"/>
    <w:p w14:paraId="24EFDE9A" w14:textId="77777777" w:rsidR="00D81755" w:rsidRDefault="0073296A">
      <w:pPr>
        <w:numPr>
          <w:ilvl w:val="0"/>
          <w:numId w:val="7"/>
        </w:numPr>
        <w:rPr>
          <w:sz w:val="20"/>
          <w:szCs w:val="20"/>
        </w:rPr>
      </w:pPr>
      <w:r>
        <w:rPr>
          <w:sz w:val="20"/>
          <w:szCs w:val="20"/>
        </w:rPr>
        <w:t xml:space="preserve">Primary applications are accepted through SOPHAS (www.sophas.org). </w:t>
      </w:r>
    </w:p>
    <w:p w14:paraId="24EFDE9B" w14:textId="77777777" w:rsidR="00D81755" w:rsidRDefault="0073296A">
      <w:pPr>
        <w:numPr>
          <w:ilvl w:val="0"/>
          <w:numId w:val="7"/>
        </w:numPr>
        <w:rPr>
          <w:sz w:val="20"/>
          <w:szCs w:val="20"/>
        </w:rPr>
      </w:pPr>
      <w:r>
        <w:rPr>
          <w:sz w:val="20"/>
          <w:szCs w:val="20"/>
        </w:rPr>
        <w:t xml:space="preserve">For Admissions Deadlines, visit </w:t>
      </w:r>
      <w:hyperlink r:id="rId33">
        <w:r>
          <w:rPr>
            <w:color w:val="0000FF"/>
            <w:sz w:val="20"/>
            <w:szCs w:val="20"/>
            <w:u w:val="single"/>
          </w:rPr>
          <w:t>https://publichealth.stonybrookmedicine.edu/admissions</w:t>
        </w:r>
      </w:hyperlink>
      <w:r>
        <w:rPr>
          <w:sz w:val="20"/>
          <w:szCs w:val="20"/>
        </w:rPr>
        <w:t xml:space="preserve">. </w:t>
      </w:r>
    </w:p>
    <w:p w14:paraId="24EFDE9C" w14:textId="77777777" w:rsidR="00D81755" w:rsidRDefault="0073296A">
      <w:pPr>
        <w:numPr>
          <w:ilvl w:val="0"/>
          <w:numId w:val="27"/>
        </w:numPr>
        <w:rPr>
          <w:sz w:val="20"/>
          <w:szCs w:val="20"/>
        </w:rPr>
      </w:pPr>
      <w:r>
        <w:rPr>
          <w:sz w:val="20"/>
          <w:szCs w:val="20"/>
        </w:rPr>
        <w:t xml:space="preserve">Bachelor's degree from an accredited college or university with a 3.2 GPA or better. Admitted students usually have GPAs that are higher than 3.0. </w:t>
      </w:r>
    </w:p>
    <w:p w14:paraId="24EFDE9D" w14:textId="77777777" w:rsidR="00D81755" w:rsidRDefault="0073296A">
      <w:pPr>
        <w:numPr>
          <w:ilvl w:val="1"/>
          <w:numId w:val="27"/>
        </w:numPr>
        <w:rPr>
          <w:sz w:val="20"/>
          <w:szCs w:val="20"/>
        </w:rPr>
      </w:pPr>
      <w:r>
        <w:rPr>
          <w:sz w:val="20"/>
          <w:szCs w:val="20"/>
        </w:rPr>
        <w:t>Preferred: Doctoral degree in a medical, dental or other healthcare field from an accredited college or university.</w:t>
      </w:r>
    </w:p>
    <w:p w14:paraId="24EFDE9E" w14:textId="77777777" w:rsidR="00D81755" w:rsidRDefault="0073296A">
      <w:pPr>
        <w:numPr>
          <w:ilvl w:val="0"/>
          <w:numId w:val="27"/>
        </w:numPr>
        <w:rPr>
          <w:sz w:val="20"/>
          <w:szCs w:val="20"/>
        </w:rPr>
      </w:pPr>
      <w:r>
        <w:rPr>
          <w:sz w:val="20"/>
          <w:szCs w:val="20"/>
        </w:rPr>
        <w:t xml:space="preserve">Official transcripts from all post-secondary schools. Transcripts for all degrees earned in schools outside the U.S. or Canada must be evaluated by an agency accredited by the National Association of Credential Evaluation Services. </w:t>
      </w:r>
    </w:p>
    <w:p w14:paraId="24EFDE9F" w14:textId="77777777" w:rsidR="00D81755" w:rsidRDefault="0073296A">
      <w:pPr>
        <w:numPr>
          <w:ilvl w:val="0"/>
          <w:numId w:val="27"/>
        </w:numPr>
        <w:rPr>
          <w:sz w:val="20"/>
          <w:szCs w:val="20"/>
        </w:rPr>
      </w:pPr>
      <w:r>
        <w:rPr>
          <w:sz w:val="20"/>
          <w:szCs w:val="20"/>
        </w:rPr>
        <w:t xml:space="preserve">Three references from </w:t>
      </w:r>
      <w:proofErr w:type="gramStart"/>
      <w:r>
        <w:rPr>
          <w:sz w:val="20"/>
          <w:szCs w:val="20"/>
        </w:rPr>
        <w:t>persons</w:t>
      </w:r>
      <w:proofErr w:type="gramEnd"/>
      <w:r>
        <w:rPr>
          <w:sz w:val="20"/>
          <w:szCs w:val="20"/>
        </w:rPr>
        <w:t xml:space="preserve"> who can address the applicant's capacity to complete a course of graduate study. If the applicant is a student or has graduated within the last two years, at least one letter must be from a college or university faculty member with whom the applicant has studied. </w:t>
      </w:r>
    </w:p>
    <w:p w14:paraId="24EFDEA0" w14:textId="77777777" w:rsidR="00D81755" w:rsidRDefault="0073296A">
      <w:pPr>
        <w:numPr>
          <w:ilvl w:val="0"/>
          <w:numId w:val="27"/>
        </w:numPr>
        <w:rPr>
          <w:sz w:val="20"/>
          <w:szCs w:val="20"/>
        </w:rPr>
      </w:pPr>
      <w:r>
        <w:rPr>
          <w:sz w:val="20"/>
          <w:szCs w:val="20"/>
        </w:rPr>
        <w:t>A Cover Letter is required for the primary application. It should be no more than 500 words and should be submitted with the application.</w:t>
      </w:r>
    </w:p>
    <w:p w14:paraId="24EFDEA1" w14:textId="77777777" w:rsidR="00D81755" w:rsidRDefault="0073296A">
      <w:pPr>
        <w:numPr>
          <w:ilvl w:val="1"/>
          <w:numId w:val="27"/>
        </w:numPr>
        <w:rPr>
          <w:sz w:val="20"/>
          <w:szCs w:val="20"/>
        </w:rPr>
      </w:pPr>
      <w:r>
        <w:rPr>
          <w:sz w:val="20"/>
          <w:szCs w:val="20"/>
        </w:rPr>
        <w:t xml:space="preserve">Cover Letter should describe the applicant’s research interest area(s) and identify a potential mentor. In addition, the letter should address how the applicant sees this program contributing to their career trajectory. </w:t>
      </w:r>
    </w:p>
    <w:p w14:paraId="24EFDEA2" w14:textId="77777777" w:rsidR="00D81755" w:rsidRDefault="0073296A">
      <w:pPr>
        <w:numPr>
          <w:ilvl w:val="0"/>
          <w:numId w:val="27"/>
        </w:numPr>
        <w:rPr>
          <w:sz w:val="20"/>
          <w:szCs w:val="20"/>
        </w:rPr>
      </w:pPr>
      <w:r>
        <w:rPr>
          <w:sz w:val="20"/>
          <w:szCs w:val="20"/>
        </w:rPr>
        <w:t>Completion of the online application.</w:t>
      </w:r>
    </w:p>
    <w:p w14:paraId="24EFDEA3" w14:textId="77777777" w:rsidR="00D81755" w:rsidRDefault="0073296A">
      <w:pPr>
        <w:numPr>
          <w:ilvl w:val="0"/>
          <w:numId w:val="27"/>
        </w:numPr>
        <w:rPr>
          <w:sz w:val="20"/>
          <w:szCs w:val="20"/>
        </w:rPr>
      </w:pPr>
      <w:r>
        <w:rPr>
          <w:sz w:val="20"/>
          <w:szCs w:val="20"/>
        </w:rPr>
        <w:t xml:space="preserve">Interview: A personal interview, if requested by the Research Mentor Matching committee, will be scheduled.  </w:t>
      </w:r>
    </w:p>
    <w:p w14:paraId="24EFDEA5" w14:textId="77777777" w:rsidR="00D81755" w:rsidRDefault="0073296A">
      <w:pPr>
        <w:pStyle w:val="Heading2"/>
      </w:pPr>
      <w:bookmarkStart w:id="40" w:name="_heading=h.jzam9lj3iif" w:colFirst="0" w:colLast="0"/>
      <w:bookmarkEnd w:id="40"/>
      <w:r>
        <w:t>MS CURRICULUM AND REQUIREMENTS</w:t>
      </w:r>
    </w:p>
    <w:p w14:paraId="24EFDEA6" w14:textId="77777777" w:rsidR="00D81755" w:rsidRDefault="0073296A">
      <w:pPr>
        <w:rPr>
          <w:sz w:val="20"/>
          <w:szCs w:val="20"/>
        </w:rPr>
      </w:pPr>
      <w:r>
        <w:rPr>
          <w:sz w:val="20"/>
          <w:szCs w:val="20"/>
        </w:rPr>
        <w:t xml:space="preserve">Completion of the Master of Science in Epidemiology and Clinical Research requires a minimum of 33 credits and includes a research practicum.  </w:t>
      </w:r>
    </w:p>
    <w:p w14:paraId="24EFDEA8" w14:textId="7A482B31" w:rsidR="00D81755" w:rsidRDefault="0073296A">
      <w:pPr>
        <w:rPr>
          <w:sz w:val="20"/>
          <w:szCs w:val="20"/>
        </w:rPr>
      </w:pPr>
      <w:r>
        <w:rPr>
          <w:sz w:val="20"/>
          <w:szCs w:val="20"/>
        </w:rPr>
        <w:t>*Other electives may be chosen with permission from the Program Director.</w:t>
      </w:r>
    </w:p>
    <w:p w14:paraId="24EFDEAB" w14:textId="1E6A97A4" w:rsidR="00D81755" w:rsidRPr="000567C6" w:rsidRDefault="001109E5" w:rsidP="000567C6">
      <w:pPr>
        <w:jc w:val="both"/>
        <w:rPr>
          <w:b/>
          <w:bCs/>
          <w:sz w:val="20"/>
          <w:szCs w:val="20"/>
        </w:rPr>
      </w:pPr>
      <w:hyperlink r:id="rId34" w:history="1">
        <w:r w:rsidRPr="001109E5">
          <w:rPr>
            <w:rStyle w:val="Hyperlink"/>
            <w:b/>
            <w:bCs/>
            <w:sz w:val="20"/>
            <w:szCs w:val="20"/>
          </w:rPr>
          <w:t xml:space="preserve">MS </w:t>
        </w:r>
        <w:r w:rsidR="0073296A" w:rsidRPr="001109E5">
          <w:rPr>
            <w:rStyle w:val="Hyperlink"/>
            <w:b/>
            <w:bCs/>
            <w:sz w:val="20"/>
            <w:szCs w:val="20"/>
          </w:rPr>
          <w:t>Curriculum Overview</w:t>
        </w:r>
        <w:r w:rsidRPr="001109E5">
          <w:rPr>
            <w:rStyle w:val="Hyperlink"/>
            <w:b/>
            <w:bCs/>
            <w:sz w:val="20"/>
            <w:szCs w:val="20"/>
          </w:rPr>
          <w:t>.</w:t>
        </w:r>
      </w:hyperlink>
      <w:r w:rsidR="0073296A">
        <w:rPr>
          <w:b/>
          <w:bCs/>
          <w:sz w:val="20"/>
          <w:szCs w:val="20"/>
        </w:rPr>
        <w:t xml:space="preserve"> </w:t>
      </w:r>
      <w:bookmarkStart w:id="41" w:name="_heading=h.r0muba8k27qq" w:colFirst="0" w:colLast="0"/>
      <w:bookmarkEnd w:id="41"/>
    </w:p>
    <w:p w14:paraId="24EFDEAC" w14:textId="77777777" w:rsidR="00D81755" w:rsidRDefault="0073296A">
      <w:pPr>
        <w:pStyle w:val="Heading1"/>
      </w:pPr>
      <w:r>
        <w:lastRenderedPageBreak/>
        <w:t>THE PHD PROGRAM IN POPULATION HEALTH AND IN CLINICAL OUTCOMES RESEARCH</w:t>
      </w:r>
    </w:p>
    <w:p w14:paraId="24EFDEAD" w14:textId="77777777" w:rsidR="00D81755" w:rsidRDefault="00D81755">
      <w:pPr>
        <w:rPr>
          <w:sz w:val="20"/>
          <w:szCs w:val="20"/>
        </w:rPr>
      </w:pPr>
    </w:p>
    <w:p w14:paraId="24EFDEAE" w14:textId="77777777" w:rsidR="00D81755" w:rsidRDefault="0073296A">
      <w:pPr>
        <w:pStyle w:val="Heading2"/>
      </w:pPr>
      <w:bookmarkStart w:id="42" w:name="_heading=h.f4wo3e5v47lr" w:colFirst="0" w:colLast="0"/>
      <w:bookmarkEnd w:id="42"/>
      <w:r>
        <w:t>ADMISSION</w:t>
      </w:r>
    </w:p>
    <w:p w14:paraId="24EFDEAF" w14:textId="77777777" w:rsidR="00D81755" w:rsidRDefault="0073296A">
      <w:pPr>
        <w:numPr>
          <w:ilvl w:val="0"/>
          <w:numId w:val="28"/>
        </w:numPr>
        <w:spacing w:before="40"/>
        <w:rPr>
          <w:sz w:val="20"/>
          <w:szCs w:val="20"/>
        </w:rPr>
      </w:pPr>
      <w:r>
        <w:rPr>
          <w:sz w:val="20"/>
          <w:szCs w:val="20"/>
        </w:rPr>
        <w:t xml:space="preserve">Primary applications are accepted through SOPHAS, the centralized application service for schools and programs of public health. </w:t>
      </w:r>
    </w:p>
    <w:p w14:paraId="24EFDEB0" w14:textId="77777777" w:rsidR="00D81755" w:rsidRDefault="0073296A">
      <w:pPr>
        <w:numPr>
          <w:ilvl w:val="0"/>
          <w:numId w:val="28"/>
        </w:numPr>
        <w:spacing w:before="40"/>
        <w:rPr>
          <w:sz w:val="20"/>
          <w:szCs w:val="20"/>
        </w:rPr>
      </w:pPr>
      <w:r>
        <w:rPr>
          <w:sz w:val="20"/>
          <w:szCs w:val="20"/>
        </w:rPr>
        <w:t xml:space="preserve">For Admissions Deadlines, visit </w:t>
      </w:r>
      <w:hyperlink r:id="rId35">
        <w:r>
          <w:rPr>
            <w:color w:val="0000FF"/>
            <w:sz w:val="20"/>
            <w:szCs w:val="20"/>
            <w:u w:val="single"/>
          </w:rPr>
          <w:t>https://publichealth.stonybrookmedicine.edu/admissions</w:t>
        </w:r>
      </w:hyperlink>
      <w:r>
        <w:rPr>
          <w:sz w:val="20"/>
          <w:szCs w:val="20"/>
        </w:rPr>
        <w:t>.  </w:t>
      </w:r>
    </w:p>
    <w:p w14:paraId="24EFDEB1" w14:textId="77777777" w:rsidR="00D81755" w:rsidRDefault="0073296A">
      <w:pPr>
        <w:numPr>
          <w:ilvl w:val="0"/>
          <w:numId w:val="28"/>
        </w:numPr>
        <w:spacing w:before="40"/>
        <w:rPr>
          <w:sz w:val="20"/>
          <w:szCs w:val="20"/>
        </w:rPr>
      </w:pPr>
      <w:r>
        <w:rPr>
          <w:sz w:val="20"/>
          <w:szCs w:val="20"/>
        </w:rPr>
        <w:t xml:space="preserve">Bachelor's degree from an accredited college or university with a 3.0 GPA or better. Admitted students usually have GPAs that are higher than 3.0. </w:t>
      </w:r>
    </w:p>
    <w:p w14:paraId="24EFDEB2" w14:textId="77777777" w:rsidR="00D81755" w:rsidRDefault="0073296A">
      <w:pPr>
        <w:numPr>
          <w:ilvl w:val="0"/>
          <w:numId w:val="28"/>
        </w:numPr>
        <w:spacing w:before="40"/>
        <w:rPr>
          <w:sz w:val="20"/>
          <w:szCs w:val="20"/>
        </w:rPr>
      </w:pPr>
      <w:r>
        <w:rPr>
          <w:sz w:val="20"/>
          <w:szCs w:val="20"/>
        </w:rPr>
        <w:t xml:space="preserve">Official transcripts from all post-secondary schools. Transcripts for all degrees earned in schools outside the U.S. or Canada must be evaluated by an agency accredited by the National Association of Credential Evaluation Services. See section on </w:t>
      </w:r>
      <w:proofErr w:type="gramStart"/>
      <w:r>
        <w:rPr>
          <w:sz w:val="20"/>
          <w:szCs w:val="20"/>
        </w:rPr>
        <w:t>International</w:t>
      </w:r>
      <w:proofErr w:type="gramEnd"/>
      <w:r>
        <w:rPr>
          <w:sz w:val="20"/>
          <w:szCs w:val="20"/>
        </w:rPr>
        <w:t xml:space="preserve"> applicants for more information about this process. The requirement for evaluation of transcripts is waived for graduates of foreign medical schools with a current license to practice in the U.S. </w:t>
      </w:r>
    </w:p>
    <w:p w14:paraId="24EFDEB3" w14:textId="77777777" w:rsidR="00D81755" w:rsidRDefault="0073296A">
      <w:pPr>
        <w:numPr>
          <w:ilvl w:val="0"/>
          <w:numId w:val="28"/>
        </w:numPr>
        <w:spacing w:before="40"/>
        <w:rPr>
          <w:sz w:val="20"/>
          <w:szCs w:val="20"/>
        </w:rPr>
      </w:pPr>
      <w:r>
        <w:rPr>
          <w:sz w:val="20"/>
          <w:szCs w:val="20"/>
        </w:rPr>
        <w:t xml:space="preserve">Three references from </w:t>
      </w:r>
      <w:proofErr w:type="gramStart"/>
      <w:r>
        <w:rPr>
          <w:sz w:val="20"/>
          <w:szCs w:val="20"/>
        </w:rPr>
        <w:t>persons</w:t>
      </w:r>
      <w:proofErr w:type="gramEnd"/>
      <w:r>
        <w:rPr>
          <w:sz w:val="20"/>
          <w:szCs w:val="20"/>
        </w:rPr>
        <w:t xml:space="preserve"> who can address the applicant's capacity to complete a course of graduate study leading to a career in population health or clinical outcomes research.</w:t>
      </w:r>
    </w:p>
    <w:p w14:paraId="24EFDEB4" w14:textId="77777777" w:rsidR="00D81755" w:rsidRDefault="0073296A">
      <w:pPr>
        <w:numPr>
          <w:ilvl w:val="0"/>
          <w:numId w:val="28"/>
        </w:numPr>
        <w:spacing w:before="40"/>
      </w:pPr>
      <w:r>
        <w:rPr>
          <w:sz w:val="20"/>
          <w:szCs w:val="20"/>
        </w:rPr>
        <w:t xml:space="preserve">A research statement is required for the primary application. It should be no more than 500 words and should be submitted with the application in SOPHAS (under Statement of Purpose and Objectives). The statement should describe the applicant’s research interest area(s). </w:t>
      </w:r>
    </w:p>
    <w:p w14:paraId="24EFDEB5" w14:textId="77777777" w:rsidR="00D81755" w:rsidRDefault="0073296A">
      <w:pPr>
        <w:numPr>
          <w:ilvl w:val="1"/>
          <w:numId w:val="28"/>
        </w:numPr>
        <w:spacing w:before="40"/>
      </w:pPr>
      <w:r>
        <w:rPr>
          <w:sz w:val="20"/>
          <w:szCs w:val="20"/>
        </w:rPr>
        <w:t xml:space="preserve">Applicants are strongly encouraged to review the available funding opportunities and mentors, </w:t>
      </w:r>
      <w:hyperlink r:id="rId36">
        <w:r>
          <w:rPr>
            <w:color w:val="0000FF"/>
            <w:sz w:val="20"/>
            <w:szCs w:val="20"/>
            <w:u w:val="single"/>
          </w:rPr>
          <w:t>https://publichealth.stonybrookmedicine.edu/phcor/funding</w:t>
        </w:r>
      </w:hyperlink>
      <w:r>
        <w:rPr>
          <w:sz w:val="20"/>
          <w:szCs w:val="20"/>
        </w:rPr>
        <w:t xml:space="preserve">. </w:t>
      </w:r>
    </w:p>
    <w:p w14:paraId="24EFDEB6" w14:textId="77777777" w:rsidR="00D81755" w:rsidRDefault="0073296A">
      <w:pPr>
        <w:numPr>
          <w:ilvl w:val="0"/>
          <w:numId w:val="28"/>
        </w:numPr>
        <w:spacing w:before="40"/>
        <w:rPr>
          <w:sz w:val="20"/>
          <w:szCs w:val="20"/>
        </w:rPr>
      </w:pPr>
      <w:r>
        <w:rPr>
          <w:sz w:val="20"/>
          <w:szCs w:val="20"/>
        </w:rPr>
        <w:t>Completion of the online application.</w:t>
      </w:r>
    </w:p>
    <w:p w14:paraId="24EFDEB7" w14:textId="77777777" w:rsidR="00D81755" w:rsidRDefault="00D81755">
      <w:pPr>
        <w:spacing w:before="40"/>
        <w:rPr>
          <w:sz w:val="20"/>
          <w:szCs w:val="20"/>
        </w:rPr>
      </w:pPr>
    </w:p>
    <w:p w14:paraId="24EFDEB8" w14:textId="77777777" w:rsidR="00D81755" w:rsidRDefault="0073296A">
      <w:pPr>
        <w:spacing w:before="40"/>
        <w:rPr>
          <w:sz w:val="20"/>
          <w:szCs w:val="20"/>
        </w:rPr>
      </w:pPr>
      <w:r>
        <w:rPr>
          <w:sz w:val="20"/>
          <w:szCs w:val="20"/>
        </w:rPr>
        <w:t>Note: The GRE is not required for admission to the PhD program in Population Health and Clinical Outcomes Research. An applicant’s background in quantitative courses and applied skills found in the CV/Resume portion of the application will be considered in their review to provide evidence of quantitative ability.</w:t>
      </w:r>
    </w:p>
    <w:p w14:paraId="24EFDEB9" w14:textId="77777777" w:rsidR="00D81755" w:rsidRDefault="00D81755">
      <w:pPr>
        <w:spacing w:before="40"/>
        <w:rPr>
          <w:sz w:val="20"/>
          <w:szCs w:val="20"/>
        </w:rPr>
      </w:pPr>
    </w:p>
    <w:p w14:paraId="24EFDEBA" w14:textId="77777777" w:rsidR="00D81755" w:rsidRDefault="0073296A">
      <w:pPr>
        <w:spacing w:before="40"/>
        <w:rPr>
          <w:b/>
          <w:bCs/>
          <w:sz w:val="20"/>
          <w:szCs w:val="20"/>
        </w:rPr>
      </w:pPr>
      <w:r>
        <w:rPr>
          <w:b/>
          <w:bCs/>
          <w:sz w:val="20"/>
          <w:szCs w:val="20"/>
        </w:rPr>
        <w:t>Interview</w:t>
      </w:r>
    </w:p>
    <w:p w14:paraId="24EFDEBB" w14:textId="77777777" w:rsidR="00D81755" w:rsidRDefault="0073296A">
      <w:pPr>
        <w:numPr>
          <w:ilvl w:val="0"/>
          <w:numId w:val="29"/>
        </w:numPr>
        <w:spacing w:before="40"/>
        <w:rPr>
          <w:sz w:val="20"/>
          <w:szCs w:val="20"/>
        </w:rPr>
      </w:pPr>
      <w:r>
        <w:rPr>
          <w:sz w:val="20"/>
          <w:szCs w:val="20"/>
        </w:rPr>
        <w:t xml:space="preserve">A personal interview, if requested, will be scheduled.  </w:t>
      </w:r>
    </w:p>
    <w:p w14:paraId="24EFDEBC" w14:textId="77777777" w:rsidR="00D81755" w:rsidRDefault="00D81755">
      <w:pPr>
        <w:spacing w:before="40"/>
        <w:ind w:left="720"/>
        <w:rPr>
          <w:sz w:val="20"/>
          <w:szCs w:val="20"/>
        </w:rPr>
      </w:pPr>
    </w:p>
    <w:p w14:paraId="24EFDEBD" w14:textId="77777777" w:rsidR="00D81755" w:rsidRDefault="0073296A">
      <w:pPr>
        <w:spacing w:before="40"/>
        <w:rPr>
          <w:b/>
          <w:bCs/>
          <w:sz w:val="20"/>
          <w:szCs w:val="20"/>
        </w:rPr>
      </w:pPr>
      <w:r>
        <w:rPr>
          <w:b/>
          <w:bCs/>
          <w:sz w:val="20"/>
          <w:szCs w:val="20"/>
        </w:rPr>
        <w:t>Additional information for international applicants</w:t>
      </w:r>
    </w:p>
    <w:p w14:paraId="24EFDEBE" w14:textId="77777777" w:rsidR="00D81755" w:rsidRDefault="0073296A">
      <w:pPr>
        <w:numPr>
          <w:ilvl w:val="0"/>
          <w:numId w:val="30"/>
        </w:numPr>
        <w:spacing w:before="40"/>
        <w:rPr>
          <w:sz w:val="20"/>
          <w:szCs w:val="20"/>
        </w:rPr>
      </w:pPr>
      <w:r>
        <w:rPr>
          <w:sz w:val="20"/>
          <w:szCs w:val="20"/>
        </w:rPr>
        <w:t xml:space="preserve">International applicants who trained in non-English speaking schools and do not reside in an </w:t>
      </w:r>
      <w:proofErr w:type="gramStart"/>
      <w:r>
        <w:rPr>
          <w:sz w:val="20"/>
          <w:szCs w:val="20"/>
        </w:rPr>
        <w:t>English speaking</w:t>
      </w:r>
      <w:proofErr w:type="gramEnd"/>
      <w:r>
        <w:rPr>
          <w:sz w:val="20"/>
          <w:szCs w:val="20"/>
        </w:rPr>
        <w:t xml:space="preserve"> country are required to take either the Test of English as a Foreign Language (TOEFL) or International English Language Testing System (IELTS) exam. Students who fail to meet this requirement must enroll in a course at the Intensive English Center and achieve satisfactory grades before admission to graduate study. Students whose scores on either of these exams are more than two years old must retake the test. The expected minimum </w:t>
      </w:r>
      <w:proofErr w:type="gramStart"/>
      <w:r>
        <w:rPr>
          <w:sz w:val="20"/>
          <w:szCs w:val="20"/>
        </w:rPr>
        <w:t>score is</w:t>
      </w:r>
      <w:proofErr w:type="gramEnd"/>
      <w:r>
        <w:rPr>
          <w:sz w:val="20"/>
          <w:szCs w:val="20"/>
        </w:rPr>
        <w:t xml:space="preserve"> for the IELTS exam is 7, with no subsection below 6. The expected minimum score on the TOEFL Internet Based Test is 90.</w:t>
      </w:r>
    </w:p>
    <w:p w14:paraId="24EFDEBF" w14:textId="77777777" w:rsidR="00D81755" w:rsidRDefault="0073296A">
      <w:pPr>
        <w:numPr>
          <w:ilvl w:val="0"/>
          <w:numId w:val="30"/>
        </w:numPr>
        <w:spacing w:before="40"/>
        <w:rPr>
          <w:sz w:val="20"/>
          <w:szCs w:val="20"/>
        </w:rPr>
      </w:pPr>
      <w:r>
        <w:rPr>
          <w:sz w:val="20"/>
          <w:szCs w:val="20"/>
        </w:rPr>
        <w:t>International students are required to have a course-by-course educational credential evaluation completed by an agency accredited by the National Association of Credential Evaluation Services (</w:t>
      </w:r>
      <w:hyperlink r:id="rId37">
        <w:r>
          <w:rPr>
            <w:color w:val="0000FF"/>
            <w:sz w:val="20"/>
            <w:szCs w:val="20"/>
            <w:u w:val="single"/>
          </w:rPr>
          <w:t>http://www.naces.org</w:t>
        </w:r>
      </w:hyperlink>
      <w:r>
        <w:rPr>
          <w:sz w:val="20"/>
          <w:szCs w:val="20"/>
        </w:rPr>
        <w:t>).  We require using World Education Services (</w:t>
      </w:r>
      <w:hyperlink r:id="rId38">
        <w:r>
          <w:rPr>
            <w:color w:val="0000FF"/>
            <w:sz w:val="20"/>
            <w:szCs w:val="20"/>
            <w:u w:val="single"/>
          </w:rPr>
          <w:t>http://www.wes.org</w:t>
        </w:r>
      </w:hyperlink>
      <w:r>
        <w:rPr>
          <w:sz w:val="20"/>
          <w:szCs w:val="20"/>
        </w:rPr>
        <w:t>).  This evaluation provides a U.S. course equivalent including semester hours earned, course content, and corresponding letter grade for all courses listed on the international applicant’s transcript.  This evaluation must be completed before the application can be considered. </w:t>
      </w:r>
    </w:p>
    <w:p w14:paraId="24EFDEC0" w14:textId="77777777" w:rsidR="00D81755" w:rsidRDefault="0073296A">
      <w:pPr>
        <w:numPr>
          <w:ilvl w:val="0"/>
          <w:numId w:val="30"/>
        </w:numPr>
        <w:spacing w:before="40"/>
        <w:rPr>
          <w:sz w:val="20"/>
          <w:szCs w:val="20"/>
        </w:rPr>
      </w:pPr>
      <w:r>
        <w:rPr>
          <w:sz w:val="20"/>
          <w:szCs w:val="20"/>
        </w:rPr>
        <w:t xml:space="preserve">For more information about international </w:t>
      </w:r>
      <w:proofErr w:type="gramStart"/>
      <w:r>
        <w:rPr>
          <w:sz w:val="20"/>
          <w:szCs w:val="20"/>
        </w:rPr>
        <w:t>students</w:t>
      </w:r>
      <w:proofErr w:type="gramEnd"/>
      <w:r>
        <w:rPr>
          <w:sz w:val="20"/>
          <w:szCs w:val="20"/>
        </w:rPr>
        <w:t xml:space="preserve"> services, see: </w:t>
      </w:r>
      <w:hyperlink r:id="rId39">
        <w:r>
          <w:rPr>
            <w:color w:val="0000FF"/>
            <w:sz w:val="20"/>
            <w:szCs w:val="20"/>
            <w:u w:val="single"/>
          </w:rPr>
          <w:t>http://www.stonybrook.edu/commcms/visa/</w:t>
        </w:r>
      </w:hyperlink>
    </w:p>
    <w:p w14:paraId="24EFDEC1" w14:textId="77777777" w:rsidR="00D81755" w:rsidRDefault="00D81755">
      <w:pPr>
        <w:spacing w:before="40"/>
        <w:rPr>
          <w:b/>
          <w:bCs/>
          <w:sz w:val="20"/>
          <w:szCs w:val="20"/>
        </w:rPr>
      </w:pPr>
    </w:p>
    <w:p w14:paraId="24EFDEC2" w14:textId="77777777" w:rsidR="00D81755" w:rsidRDefault="0073296A">
      <w:pPr>
        <w:spacing w:before="40"/>
        <w:rPr>
          <w:b/>
          <w:bCs/>
          <w:sz w:val="20"/>
          <w:szCs w:val="20"/>
        </w:rPr>
      </w:pPr>
      <w:r>
        <w:rPr>
          <w:b/>
          <w:bCs/>
          <w:sz w:val="20"/>
          <w:szCs w:val="20"/>
        </w:rPr>
        <w:t>Financial Support for PhD Students</w:t>
      </w:r>
    </w:p>
    <w:p w14:paraId="24EFDEC3" w14:textId="77777777" w:rsidR="00D81755" w:rsidRDefault="0073296A">
      <w:pPr>
        <w:spacing w:before="40"/>
        <w:rPr>
          <w:sz w:val="20"/>
          <w:szCs w:val="20"/>
        </w:rPr>
      </w:pPr>
      <w:r>
        <w:rPr>
          <w:sz w:val="20"/>
          <w:szCs w:val="20"/>
        </w:rPr>
        <w:t xml:space="preserve">Research and/or teaching stipends are available on a limited and competitive basis, contingent upon an available research mentor who is offering financial support and/or a teaching assistantship funded by the PPH for doctoral students.  Visit our website for current information regarding available funding.  </w:t>
      </w:r>
      <w:hyperlink r:id="rId40">
        <w:r>
          <w:rPr>
            <w:color w:val="0000FF"/>
            <w:sz w:val="20"/>
            <w:szCs w:val="20"/>
            <w:u w:val="single"/>
          </w:rPr>
          <w:t>https://publichealth.stonybrookmedicine.edu/phcor/funding</w:t>
        </w:r>
      </w:hyperlink>
    </w:p>
    <w:p w14:paraId="24EFDEC4" w14:textId="77777777" w:rsidR="00D81755" w:rsidRDefault="0073296A">
      <w:pPr>
        <w:pStyle w:val="Heading2"/>
      </w:pPr>
      <w:bookmarkStart w:id="43" w:name="_heading=h.fvtzdv1tndg" w:colFirst="0" w:colLast="0"/>
      <w:bookmarkEnd w:id="43"/>
      <w:r>
        <w:t>PHD CURRICULUM AND REQUIREMENTS</w:t>
      </w:r>
    </w:p>
    <w:p w14:paraId="24EFDEC5" w14:textId="77777777" w:rsidR="00D81755" w:rsidRDefault="0073296A">
      <w:pPr>
        <w:spacing w:before="150" w:after="150"/>
        <w:rPr>
          <w:sz w:val="20"/>
          <w:szCs w:val="20"/>
        </w:rPr>
      </w:pPr>
      <w:r>
        <w:rPr>
          <w:b/>
          <w:bCs/>
          <w:sz w:val="20"/>
          <w:szCs w:val="20"/>
        </w:rPr>
        <w:t>The PhD in Population Health and in Clinical Outcomes Research Program </w:t>
      </w:r>
      <w:r>
        <w:rPr>
          <w:sz w:val="20"/>
          <w:szCs w:val="20"/>
        </w:rPr>
        <w:t>in the </w:t>
      </w:r>
      <w:r>
        <w:rPr>
          <w:i/>
          <w:iCs/>
          <w:sz w:val="20"/>
          <w:szCs w:val="20"/>
        </w:rPr>
        <w:t>Program in Public Health</w:t>
      </w:r>
      <w:r>
        <w:rPr>
          <w:sz w:val="20"/>
          <w:szCs w:val="20"/>
        </w:rPr>
        <w:t xml:space="preserve"> are two distinct concentrations that each provide advanced research training through a </w:t>
      </w:r>
      <w:proofErr w:type="gramStart"/>
      <w:r>
        <w:rPr>
          <w:sz w:val="20"/>
          <w:szCs w:val="20"/>
        </w:rPr>
        <w:t>multidisciplinary, integrated</w:t>
      </w:r>
      <w:proofErr w:type="gramEnd"/>
      <w:r>
        <w:rPr>
          <w:sz w:val="20"/>
          <w:szCs w:val="20"/>
        </w:rPr>
        <w:t xml:space="preserve">, applied problem-solving approach to support students in addressing priority health and healthcare issues within the field. Graduates will be well-prepared to lead independent research careers that advance health equity, improve the health of populations and/or clinical care, and shape health policy. This research-intensive doctoral program equips students with the interdisciplinary knowledge and methodological expertise needed to address complex health challenges across populations and clinical settings. </w:t>
      </w:r>
    </w:p>
    <w:p w14:paraId="24EFDEC6" w14:textId="77777777" w:rsidR="00D81755" w:rsidRDefault="0073296A">
      <w:pPr>
        <w:spacing w:after="150"/>
        <w:rPr>
          <w:sz w:val="20"/>
          <w:szCs w:val="20"/>
        </w:rPr>
      </w:pPr>
      <w:r>
        <w:rPr>
          <w:sz w:val="20"/>
          <w:szCs w:val="20"/>
        </w:rPr>
        <w:lastRenderedPageBreak/>
        <w:t xml:space="preserve">Training in the </w:t>
      </w:r>
      <w:r>
        <w:rPr>
          <w:i/>
          <w:iCs/>
          <w:sz w:val="20"/>
          <w:szCs w:val="20"/>
        </w:rPr>
        <w:t>population health research</w:t>
      </w:r>
      <w:r>
        <w:rPr>
          <w:sz w:val="20"/>
          <w:szCs w:val="20"/>
        </w:rPr>
        <w:t xml:space="preserve"> concentration prepares students to investigate and address the social, behavioral, economic, environmental, and/or structural determinants of health at the population level. It tends to focus on structures and systems that drive who becomes sick, and who stays healthy. Population health training draws from epidemiology, sociology, psychology, health policy, biostatistics, economics, implementation science and related disciplines to understand and improve the health of communities and societies. A PhD in population health research might be a good fit if you’re interested in upstream factors and/or health equity. </w:t>
      </w:r>
    </w:p>
    <w:p w14:paraId="24EFDEC7" w14:textId="77777777" w:rsidR="00D81755" w:rsidRDefault="0073296A">
      <w:pPr>
        <w:numPr>
          <w:ilvl w:val="0"/>
          <w:numId w:val="16"/>
        </w:numPr>
        <w:pBdr>
          <w:top w:val="nil"/>
          <w:left w:val="nil"/>
          <w:bottom w:val="nil"/>
          <w:right w:val="nil"/>
          <w:between w:val="nil"/>
        </w:pBdr>
        <w:rPr>
          <w:color w:val="000000"/>
          <w:sz w:val="20"/>
          <w:szCs w:val="20"/>
        </w:rPr>
      </w:pPr>
      <w:r>
        <w:rPr>
          <w:color w:val="000000"/>
          <w:sz w:val="20"/>
          <w:szCs w:val="20"/>
        </w:rPr>
        <w:t>How does household violence affect adolescent mental health?</w:t>
      </w:r>
    </w:p>
    <w:p w14:paraId="24EFDEC8" w14:textId="77777777" w:rsidR="00D81755" w:rsidRDefault="0073296A">
      <w:pPr>
        <w:numPr>
          <w:ilvl w:val="0"/>
          <w:numId w:val="16"/>
        </w:numPr>
        <w:pBdr>
          <w:top w:val="nil"/>
          <w:left w:val="nil"/>
          <w:bottom w:val="nil"/>
          <w:right w:val="nil"/>
          <w:between w:val="nil"/>
        </w:pBdr>
        <w:spacing w:after="150"/>
        <w:rPr>
          <w:color w:val="000000"/>
          <w:sz w:val="20"/>
          <w:szCs w:val="20"/>
        </w:rPr>
      </w:pPr>
      <w:r>
        <w:rPr>
          <w:color w:val="000000"/>
          <w:sz w:val="20"/>
          <w:szCs w:val="20"/>
        </w:rPr>
        <w:t>What role does childhood education have in the onset of dementia later in life?</w:t>
      </w:r>
    </w:p>
    <w:p w14:paraId="24EFDEC9" w14:textId="77777777" w:rsidR="00D81755" w:rsidRDefault="0073296A">
      <w:pPr>
        <w:spacing w:after="150"/>
        <w:rPr>
          <w:sz w:val="20"/>
          <w:szCs w:val="20"/>
        </w:rPr>
      </w:pPr>
      <w:r>
        <w:rPr>
          <w:sz w:val="20"/>
          <w:szCs w:val="20"/>
        </w:rPr>
        <w:t xml:space="preserve">Training in the </w:t>
      </w:r>
      <w:r>
        <w:rPr>
          <w:i/>
          <w:iCs/>
          <w:sz w:val="20"/>
          <w:szCs w:val="20"/>
        </w:rPr>
        <w:t xml:space="preserve">clinical </w:t>
      </w:r>
      <w:proofErr w:type="gramStart"/>
      <w:r>
        <w:rPr>
          <w:i/>
          <w:iCs/>
          <w:sz w:val="20"/>
          <w:szCs w:val="20"/>
        </w:rPr>
        <w:t>outcomes</w:t>
      </w:r>
      <w:proofErr w:type="gramEnd"/>
      <w:r>
        <w:rPr>
          <w:sz w:val="20"/>
          <w:szCs w:val="20"/>
        </w:rPr>
        <w:t xml:space="preserve"> concentration prepares students to evaluate clinical interventions, treatments, or care delivery models to understand their impact on patient outcomes. This field is focused on what works, for whom, and under what circumstances. By using patient-centered data, researchers extend knowledge in the areas of safety, quality, cost, efficiency, accessibility, accountability, and equity of care. Research in clinical outcomes also can intersect with population health with respect to understanding social and system-level barriers and facilitators to health care access, utilization, and related outcomes as well as inequities. A PhD in clinical outcomes might be a good fit if you’re interested in evaluating treatments, improving care quality, or working closely with clinical data. Research questions might include:</w:t>
      </w:r>
    </w:p>
    <w:p w14:paraId="24EFDECA" w14:textId="77777777" w:rsidR="00D81755" w:rsidRDefault="0073296A">
      <w:pPr>
        <w:numPr>
          <w:ilvl w:val="0"/>
          <w:numId w:val="14"/>
        </w:numPr>
        <w:pBdr>
          <w:top w:val="nil"/>
          <w:left w:val="nil"/>
          <w:bottom w:val="nil"/>
          <w:right w:val="nil"/>
          <w:between w:val="nil"/>
        </w:pBdr>
        <w:rPr>
          <w:color w:val="000000"/>
          <w:sz w:val="20"/>
          <w:szCs w:val="20"/>
        </w:rPr>
      </w:pPr>
      <w:r>
        <w:rPr>
          <w:color w:val="000000"/>
          <w:sz w:val="20"/>
          <w:szCs w:val="20"/>
        </w:rPr>
        <w:t>How do bundled payment models impact quality of care in stroke treatment?</w:t>
      </w:r>
    </w:p>
    <w:p w14:paraId="24EFDECB" w14:textId="77777777" w:rsidR="00D81755" w:rsidRDefault="0073296A">
      <w:pPr>
        <w:numPr>
          <w:ilvl w:val="0"/>
          <w:numId w:val="14"/>
        </w:numPr>
        <w:pBdr>
          <w:top w:val="nil"/>
          <w:left w:val="nil"/>
          <w:bottom w:val="nil"/>
          <w:right w:val="nil"/>
          <w:between w:val="nil"/>
        </w:pBdr>
        <w:rPr>
          <w:color w:val="000000"/>
          <w:sz w:val="20"/>
          <w:szCs w:val="20"/>
        </w:rPr>
      </w:pPr>
      <w:r>
        <w:rPr>
          <w:color w:val="000000"/>
          <w:sz w:val="20"/>
          <w:szCs w:val="20"/>
        </w:rPr>
        <w:t xml:space="preserve">Do hospitals that use automated decision-support tools have greater compliance </w:t>
      </w:r>
      <w:proofErr w:type="gramStart"/>
      <w:r>
        <w:rPr>
          <w:color w:val="000000"/>
          <w:sz w:val="20"/>
          <w:szCs w:val="20"/>
        </w:rPr>
        <w:t>to</w:t>
      </w:r>
      <w:proofErr w:type="gramEnd"/>
      <w:r>
        <w:rPr>
          <w:color w:val="000000"/>
          <w:sz w:val="20"/>
          <w:szCs w:val="20"/>
        </w:rPr>
        <w:t xml:space="preserve"> clinical practice guidelines for </w:t>
      </w:r>
      <w:proofErr w:type="gramStart"/>
      <w:r>
        <w:rPr>
          <w:color w:val="000000"/>
          <w:sz w:val="20"/>
          <w:szCs w:val="20"/>
        </w:rPr>
        <w:t>quality of care</w:t>
      </w:r>
      <w:proofErr w:type="gramEnd"/>
      <w:r>
        <w:rPr>
          <w:color w:val="000000"/>
          <w:sz w:val="20"/>
          <w:szCs w:val="20"/>
        </w:rPr>
        <w:t xml:space="preserve"> measures? </w:t>
      </w:r>
    </w:p>
    <w:p w14:paraId="24EFDECC" w14:textId="77777777" w:rsidR="00D81755" w:rsidRDefault="0073296A">
      <w:pPr>
        <w:numPr>
          <w:ilvl w:val="0"/>
          <w:numId w:val="14"/>
        </w:numPr>
        <w:pBdr>
          <w:top w:val="nil"/>
          <w:left w:val="nil"/>
          <w:bottom w:val="nil"/>
          <w:right w:val="nil"/>
          <w:between w:val="nil"/>
        </w:pBdr>
      </w:pPr>
      <w:r>
        <w:rPr>
          <w:color w:val="000000"/>
          <w:sz w:val="20"/>
          <w:szCs w:val="20"/>
        </w:rPr>
        <w:t>Are hospital readmission rates lower if patients complete cardiac rehabilitation?</w:t>
      </w:r>
    </w:p>
    <w:p w14:paraId="24EFDECD" w14:textId="77777777" w:rsidR="00D81755" w:rsidRDefault="0073296A">
      <w:pPr>
        <w:spacing w:before="150" w:after="150"/>
        <w:rPr>
          <w:sz w:val="20"/>
          <w:szCs w:val="20"/>
        </w:rPr>
      </w:pPr>
      <w:r>
        <w:rPr>
          <w:sz w:val="20"/>
          <w:szCs w:val="20"/>
        </w:rPr>
        <w:t xml:space="preserve">There is a growing need for well-trained researchers with the requisite skills in population health and in clinical outcome research. For example, the Affordable Care Act places great emphasis on population-based approaches to the obesity epidemic and clinical outcomes approaches to </w:t>
      </w:r>
      <w:proofErr w:type="gramStart"/>
      <w:r>
        <w:rPr>
          <w:sz w:val="20"/>
          <w:szCs w:val="20"/>
        </w:rPr>
        <w:t>establishing</w:t>
      </w:r>
      <w:proofErr w:type="gramEnd"/>
      <w:r>
        <w:rPr>
          <w:sz w:val="20"/>
          <w:szCs w:val="20"/>
        </w:rPr>
        <w:t xml:space="preserve"> comparative efficacy of treatments. These skills are in great demand in the public, private </w:t>
      </w:r>
      <w:proofErr w:type="gramStart"/>
      <w:r>
        <w:rPr>
          <w:sz w:val="20"/>
          <w:szCs w:val="20"/>
        </w:rPr>
        <w:t>and,</w:t>
      </w:r>
      <w:proofErr w:type="gramEnd"/>
      <w:r>
        <w:rPr>
          <w:sz w:val="20"/>
          <w:szCs w:val="20"/>
        </w:rPr>
        <w:t xml:space="preserve"> academic sectors. </w:t>
      </w:r>
    </w:p>
    <w:p w14:paraId="24EFDECE" w14:textId="77777777" w:rsidR="00D81755" w:rsidRDefault="0073296A">
      <w:pPr>
        <w:spacing w:before="150" w:after="150"/>
        <w:rPr>
          <w:sz w:val="20"/>
          <w:szCs w:val="20"/>
        </w:rPr>
      </w:pPr>
      <w:r>
        <w:rPr>
          <w:sz w:val="20"/>
          <w:szCs w:val="20"/>
        </w:rPr>
        <w:t>Students will gain knowledge, skills, and experience by means of a series of rigorous quantitative and analytical courses designed to develop advanced problem-solving skills. Working under faculty mentor guidance, student projects will focus on substantive current problems affecting population health, health policy, clinical practice, and patient-based health care decisions. Graduates will be competent in the design, conduct, and evaluation of research studies that will improve public health and medical care.</w:t>
      </w:r>
    </w:p>
    <w:p w14:paraId="24EFDECF" w14:textId="77777777" w:rsidR="00D81755" w:rsidRDefault="0073296A">
      <w:pPr>
        <w:spacing w:before="150" w:after="150"/>
        <w:rPr>
          <w:sz w:val="20"/>
          <w:szCs w:val="20"/>
        </w:rPr>
      </w:pPr>
      <w:r>
        <w:rPr>
          <w:sz w:val="20"/>
          <w:szCs w:val="20"/>
        </w:rPr>
        <w:t>Upon completion of the program, graduates will be able to:</w:t>
      </w:r>
    </w:p>
    <w:p w14:paraId="24EFDED0" w14:textId="77777777" w:rsidR="00D81755" w:rsidRDefault="0073296A">
      <w:pPr>
        <w:numPr>
          <w:ilvl w:val="0"/>
          <w:numId w:val="17"/>
        </w:numPr>
        <w:spacing w:before="150" w:after="150"/>
        <w:rPr>
          <w:sz w:val="20"/>
          <w:szCs w:val="20"/>
        </w:rPr>
      </w:pPr>
      <w:r>
        <w:rPr>
          <w:b/>
          <w:bCs/>
          <w:sz w:val="20"/>
          <w:szCs w:val="20"/>
        </w:rPr>
        <w:t>Conduct original, independent research</w:t>
      </w:r>
      <w:r>
        <w:rPr>
          <w:sz w:val="20"/>
          <w:szCs w:val="20"/>
        </w:rPr>
        <w:t xml:space="preserve"> that makes a meaningful contribution to the fields of population health and clinical outcomes research.</w:t>
      </w:r>
    </w:p>
    <w:p w14:paraId="24EFDED1" w14:textId="77777777" w:rsidR="00D81755" w:rsidRDefault="0073296A">
      <w:pPr>
        <w:numPr>
          <w:ilvl w:val="0"/>
          <w:numId w:val="17"/>
        </w:numPr>
        <w:spacing w:before="150" w:after="150"/>
        <w:rPr>
          <w:sz w:val="20"/>
          <w:szCs w:val="20"/>
        </w:rPr>
      </w:pPr>
      <w:r>
        <w:rPr>
          <w:b/>
          <w:bCs/>
          <w:sz w:val="20"/>
          <w:szCs w:val="20"/>
        </w:rPr>
        <w:t>Apply advanced epidemiological, biostatistical, and health services research methods</w:t>
      </w:r>
      <w:r>
        <w:rPr>
          <w:sz w:val="20"/>
          <w:szCs w:val="20"/>
        </w:rPr>
        <w:t xml:space="preserve"> to analyze population-level and patient-centered health data.</w:t>
      </w:r>
    </w:p>
    <w:p w14:paraId="24EFDED2" w14:textId="77777777" w:rsidR="00D81755" w:rsidRDefault="0073296A">
      <w:pPr>
        <w:numPr>
          <w:ilvl w:val="0"/>
          <w:numId w:val="17"/>
        </w:numPr>
        <w:spacing w:before="150" w:after="150"/>
        <w:rPr>
          <w:sz w:val="20"/>
          <w:szCs w:val="20"/>
        </w:rPr>
      </w:pPr>
      <w:r>
        <w:rPr>
          <w:b/>
          <w:bCs/>
          <w:sz w:val="20"/>
          <w:szCs w:val="20"/>
        </w:rPr>
        <w:t>Integrate theory and empirical evidence</w:t>
      </w:r>
      <w:r>
        <w:rPr>
          <w:sz w:val="20"/>
          <w:szCs w:val="20"/>
        </w:rPr>
        <w:t xml:space="preserve"> to critically examine the structural, social, and clinical determinants of health and disease prevention. </w:t>
      </w:r>
    </w:p>
    <w:p w14:paraId="24EFDED3" w14:textId="77777777" w:rsidR="00D81755" w:rsidRDefault="0073296A">
      <w:pPr>
        <w:numPr>
          <w:ilvl w:val="0"/>
          <w:numId w:val="17"/>
        </w:numPr>
        <w:spacing w:before="150" w:after="150"/>
        <w:rPr>
          <w:sz w:val="20"/>
          <w:szCs w:val="20"/>
        </w:rPr>
      </w:pPr>
      <w:r>
        <w:rPr>
          <w:b/>
          <w:bCs/>
          <w:sz w:val="20"/>
          <w:szCs w:val="20"/>
        </w:rPr>
        <w:t>Design, implement, and evaluate interventions and policies</w:t>
      </w:r>
      <w:r>
        <w:rPr>
          <w:sz w:val="20"/>
          <w:szCs w:val="20"/>
        </w:rPr>
        <w:t xml:space="preserve"> that aim to reduce health disparities and improve quality of care.</w:t>
      </w:r>
    </w:p>
    <w:p w14:paraId="24EFDED4" w14:textId="77777777" w:rsidR="00D81755" w:rsidRDefault="0073296A">
      <w:pPr>
        <w:numPr>
          <w:ilvl w:val="0"/>
          <w:numId w:val="17"/>
        </w:numPr>
        <w:spacing w:before="150" w:after="150"/>
        <w:rPr>
          <w:sz w:val="20"/>
          <w:szCs w:val="20"/>
        </w:rPr>
      </w:pPr>
      <w:r>
        <w:rPr>
          <w:b/>
          <w:bCs/>
          <w:sz w:val="20"/>
          <w:szCs w:val="20"/>
        </w:rPr>
        <w:t xml:space="preserve">Create collaborative, multi-disciplinary research teams </w:t>
      </w:r>
      <w:r>
        <w:rPr>
          <w:sz w:val="20"/>
          <w:szCs w:val="20"/>
        </w:rPr>
        <w:t>and foster inclusive research environments.</w:t>
      </w:r>
    </w:p>
    <w:p w14:paraId="24EFDED5" w14:textId="77777777" w:rsidR="00D81755" w:rsidRDefault="0073296A">
      <w:pPr>
        <w:numPr>
          <w:ilvl w:val="0"/>
          <w:numId w:val="17"/>
        </w:numPr>
        <w:spacing w:before="150" w:after="150"/>
        <w:rPr>
          <w:sz w:val="20"/>
          <w:szCs w:val="20"/>
        </w:rPr>
      </w:pPr>
      <w:r>
        <w:rPr>
          <w:b/>
          <w:bCs/>
          <w:sz w:val="20"/>
          <w:szCs w:val="20"/>
        </w:rPr>
        <w:t>Communicate research findings effectively</w:t>
      </w:r>
      <w:r>
        <w:rPr>
          <w:sz w:val="20"/>
          <w:szCs w:val="20"/>
        </w:rPr>
        <w:t>, including through peer-reviewed publications and professional conference presentations.</w:t>
      </w:r>
    </w:p>
    <w:p w14:paraId="24EFDED6" w14:textId="77777777" w:rsidR="00D81755" w:rsidRDefault="0073296A">
      <w:pPr>
        <w:numPr>
          <w:ilvl w:val="0"/>
          <w:numId w:val="17"/>
        </w:numPr>
        <w:spacing w:before="150" w:after="150"/>
        <w:rPr>
          <w:sz w:val="20"/>
          <w:szCs w:val="20"/>
        </w:rPr>
      </w:pPr>
      <w:r>
        <w:rPr>
          <w:b/>
          <w:bCs/>
          <w:sz w:val="20"/>
          <w:szCs w:val="20"/>
        </w:rPr>
        <w:t>Develop competitive grant proposals</w:t>
      </w:r>
      <w:r>
        <w:rPr>
          <w:sz w:val="20"/>
          <w:szCs w:val="20"/>
        </w:rPr>
        <w:t xml:space="preserve"> to secure funding for independent or collaborative research initiatives.</w:t>
      </w:r>
    </w:p>
    <w:p w14:paraId="24EFDED7" w14:textId="77777777" w:rsidR="00D81755" w:rsidRDefault="0073296A">
      <w:pPr>
        <w:numPr>
          <w:ilvl w:val="0"/>
          <w:numId w:val="17"/>
        </w:numPr>
        <w:spacing w:before="150" w:after="150"/>
        <w:rPr>
          <w:sz w:val="20"/>
          <w:szCs w:val="20"/>
        </w:rPr>
      </w:pPr>
      <w:r>
        <w:rPr>
          <w:b/>
          <w:bCs/>
          <w:sz w:val="20"/>
          <w:szCs w:val="20"/>
        </w:rPr>
        <w:t>Understand aspects of implementation science and the translation of research into practice and/or policy.</w:t>
      </w:r>
    </w:p>
    <w:p w14:paraId="24EFDED8" w14:textId="77777777" w:rsidR="00D81755" w:rsidRDefault="0073296A">
      <w:pPr>
        <w:numPr>
          <w:ilvl w:val="0"/>
          <w:numId w:val="17"/>
        </w:numPr>
        <w:spacing w:before="150" w:after="150"/>
        <w:rPr>
          <w:sz w:val="20"/>
          <w:szCs w:val="20"/>
        </w:rPr>
      </w:pPr>
      <w:r>
        <w:rPr>
          <w:b/>
          <w:bCs/>
          <w:sz w:val="20"/>
          <w:szCs w:val="20"/>
        </w:rPr>
        <w:t>Teach and mentor effectively</w:t>
      </w:r>
      <w:r>
        <w:rPr>
          <w:sz w:val="20"/>
          <w:szCs w:val="20"/>
        </w:rPr>
        <w:t xml:space="preserve"> in health-related academic or professional settings.</w:t>
      </w:r>
    </w:p>
    <w:p w14:paraId="24EFDED9" w14:textId="77777777" w:rsidR="00D81755" w:rsidRDefault="0073296A">
      <w:pPr>
        <w:spacing w:before="150"/>
        <w:rPr>
          <w:sz w:val="20"/>
          <w:szCs w:val="20"/>
        </w:rPr>
      </w:pPr>
      <w:r>
        <w:rPr>
          <w:sz w:val="20"/>
          <w:szCs w:val="20"/>
        </w:rPr>
        <w:t>For questions and inquiries, please contact us at </w:t>
      </w:r>
      <w:hyperlink r:id="rId41">
        <w:r>
          <w:rPr>
            <w:color w:val="990000"/>
            <w:sz w:val="20"/>
            <w:szCs w:val="20"/>
            <w:u w:val="single"/>
          </w:rPr>
          <w:t>publichealth@stonybrookmedicine.edu</w:t>
        </w:r>
      </w:hyperlink>
      <w:r>
        <w:rPr>
          <w:sz w:val="20"/>
          <w:szCs w:val="20"/>
        </w:rPr>
        <w:t>.</w:t>
      </w:r>
    </w:p>
    <w:p w14:paraId="24EFDEDA" w14:textId="77777777" w:rsidR="00D81755" w:rsidRDefault="0073296A">
      <w:pPr>
        <w:rPr>
          <w:sz w:val="20"/>
          <w:szCs w:val="20"/>
        </w:rPr>
      </w:pPr>
      <w:bookmarkStart w:id="44" w:name="_heading=h.1ci93xb" w:colFirst="0" w:colLast="0"/>
      <w:bookmarkEnd w:id="44"/>
      <w:r>
        <w:br w:type="page"/>
      </w:r>
    </w:p>
    <w:p w14:paraId="24EFDEDB" w14:textId="458478F2" w:rsidR="00D81755" w:rsidRDefault="0073296A">
      <w:pPr>
        <w:spacing w:before="280" w:after="280"/>
        <w:rPr>
          <w:sz w:val="20"/>
          <w:szCs w:val="20"/>
        </w:rPr>
      </w:pPr>
      <w:hyperlink r:id="rId42" w:history="1">
        <w:r w:rsidRPr="00E66416">
          <w:rPr>
            <w:rStyle w:val="Hyperlink"/>
            <w:b/>
            <w:bCs/>
            <w:sz w:val="22"/>
            <w:szCs w:val="22"/>
          </w:rPr>
          <w:t>PhD Core Curriculum</w:t>
        </w:r>
      </w:hyperlink>
      <w:r>
        <w:rPr>
          <w:b/>
          <w:bCs/>
          <w:sz w:val="22"/>
          <w:szCs w:val="22"/>
        </w:rPr>
        <w:t xml:space="preserve">:  </w:t>
      </w:r>
    </w:p>
    <w:p w14:paraId="24EFDEDC" w14:textId="77777777" w:rsidR="00D81755" w:rsidRDefault="0073296A">
      <w:pPr>
        <w:jc w:val="both"/>
        <w:rPr>
          <w:b/>
          <w:bCs/>
          <w:sz w:val="20"/>
          <w:szCs w:val="20"/>
        </w:rPr>
      </w:pPr>
      <w:r>
        <w:rPr>
          <w:b/>
          <w:bCs/>
          <w:sz w:val="20"/>
          <w:szCs w:val="20"/>
        </w:rPr>
        <w:t>Course Substitutions</w:t>
      </w:r>
    </w:p>
    <w:p w14:paraId="24EFDEDD" w14:textId="77777777" w:rsidR="00D81755" w:rsidRDefault="0073296A">
      <w:pPr>
        <w:rPr>
          <w:sz w:val="20"/>
          <w:szCs w:val="20"/>
        </w:rPr>
      </w:pPr>
      <w:r>
        <w:rPr>
          <w:sz w:val="20"/>
          <w:szCs w:val="20"/>
        </w:rPr>
        <w:t xml:space="preserve">All course substitutions must be approved by the Program Director and the Dissertation Advisor before they can be used toward the degree. The </w:t>
      </w:r>
      <w:r>
        <w:rPr>
          <w:i/>
          <w:iCs/>
          <w:sz w:val="20"/>
          <w:szCs w:val="20"/>
        </w:rPr>
        <w:t>Course Substitution Form</w:t>
      </w:r>
      <w:r>
        <w:rPr>
          <w:sz w:val="20"/>
          <w:szCs w:val="20"/>
        </w:rPr>
        <w:t xml:space="preserve"> must be completed, signed, and submitted to the program coordinator. The student should maintain a copy of the signed form.</w:t>
      </w:r>
    </w:p>
    <w:p w14:paraId="24EFDEDE" w14:textId="77777777" w:rsidR="00D81755" w:rsidRDefault="00D81755">
      <w:pPr>
        <w:rPr>
          <w:sz w:val="20"/>
          <w:szCs w:val="20"/>
        </w:rPr>
      </w:pPr>
    </w:p>
    <w:p w14:paraId="24EFDEDF" w14:textId="77777777" w:rsidR="00D81755" w:rsidRDefault="0073296A">
      <w:pPr>
        <w:jc w:val="both"/>
        <w:rPr>
          <w:b/>
          <w:bCs/>
          <w:sz w:val="20"/>
          <w:szCs w:val="20"/>
        </w:rPr>
      </w:pPr>
      <w:r>
        <w:rPr>
          <w:b/>
          <w:bCs/>
          <w:sz w:val="20"/>
          <w:szCs w:val="20"/>
        </w:rPr>
        <w:t>Transfer of Credit</w:t>
      </w:r>
    </w:p>
    <w:p w14:paraId="24EFDEE0" w14:textId="77777777" w:rsidR="00D81755" w:rsidRDefault="0073296A">
      <w:pPr>
        <w:rPr>
          <w:sz w:val="20"/>
          <w:szCs w:val="20"/>
        </w:rPr>
      </w:pPr>
      <w:r>
        <w:rPr>
          <w:sz w:val="20"/>
          <w:szCs w:val="20"/>
        </w:rPr>
        <w:t>A candidate for the doctoral degree may transfer those graduate credits that are approved by the appropriate PHCOR course director(s), the concentration director, and the Graduate Program Director. All courses transferred must be documented to be directly substitutable with a B or better grade attained. Moreover, transferred courses should have been completed within the past 5 years. If transferred courses are older than 5 years, additional documentation of the current relevancy of the course content must be documented by the appropriate PHCOR course director(s). Thus, courses older than five years will be accepted only in rare circumstances.</w:t>
      </w:r>
    </w:p>
    <w:p w14:paraId="24EFDEE1" w14:textId="77777777" w:rsidR="00D81755" w:rsidRDefault="00D81755">
      <w:pPr>
        <w:rPr>
          <w:sz w:val="20"/>
          <w:szCs w:val="20"/>
        </w:rPr>
      </w:pPr>
    </w:p>
    <w:p w14:paraId="24EFDEE2" w14:textId="77777777" w:rsidR="00D81755" w:rsidRDefault="0073296A">
      <w:pPr>
        <w:jc w:val="both"/>
        <w:rPr>
          <w:b/>
          <w:bCs/>
          <w:sz w:val="20"/>
          <w:szCs w:val="20"/>
        </w:rPr>
      </w:pPr>
      <w:r>
        <w:rPr>
          <w:b/>
          <w:bCs/>
          <w:sz w:val="20"/>
          <w:szCs w:val="20"/>
        </w:rPr>
        <w:t>Transfer from Non-Matriculated Status</w:t>
      </w:r>
    </w:p>
    <w:p w14:paraId="24EFDEE3" w14:textId="77777777" w:rsidR="00D81755" w:rsidRDefault="0073296A">
      <w:pPr>
        <w:rPr>
          <w:sz w:val="20"/>
          <w:szCs w:val="20"/>
        </w:rPr>
      </w:pPr>
      <w:r>
        <w:rPr>
          <w:sz w:val="20"/>
          <w:szCs w:val="20"/>
        </w:rPr>
        <w:t>There is not a limit to the doctoral student course credits for students transferring from non- matriculated status. However, a limit on credits transferred may be set by the academic advisor, concentration director, and/or Graduate Program Director to assure that the student meets all of the core and concentration requirements but retains elective course flexibility to coordinate advance course work to support the student’s research project experience optimally. Transfer of course credits will be proactively coordinated as part of the academic advising and course planning PHCOR Program processes.</w:t>
      </w:r>
    </w:p>
    <w:p w14:paraId="24EFDEE4" w14:textId="77777777" w:rsidR="00D81755" w:rsidRDefault="0073296A">
      <w:pPr>
        <w:rPr>
          <w:sz w:val="20"/>
          <w:szCs w:val="20"/>
        </w:rPr>
      </w:pPr>
      <w:r>
        <w:rPr>
          <w:sz w:val="20"/>
          <w:szCs w:val="20"/>
        </w:rPr>
        <w:t xml:space="preserve">Before the petition to transfer </w:t>
      </w:r>
      <w:proofErr w:type="gramStart"/>
      <w:r>
        <w:rPr>
          <w:sz w:val="20"/>
          <w:szCs w:val="20"/>
        </w:rPr>
        <w:t>course</w:t>
      </w:r>
      <w:proofErr w:type="gramEnd"/>
      <w:r>
        <w:rPr>
          <w:sz w:val="20"/>
          <w:szCs w:val="20"/>
        </w:rPr>
        <w:t xml:space="preserve"> credits will be submitted, students </w:t>
      </w:r>
      <w:proofErr w:type="gramStart"/>
      <w:r>
        <w:rPr>
          <w:sz w:val="20"/>
          <w:szCs w:val="20"/>
        </w:rPr>
        <w:t>must be</w:t>
      </w:r>
      <w:proofErr w:type="gramEnd"/>
      <w:r>
        <w:rPr>
          <w:sz w:val="20"/>
          <w:szCs w:val="20"/>
        </w:rPr>
        <w:t xml:space="preserve"> formally </w:t>
      </w:r>
      <w:proofErr w:type="gramStart"/>
      <w:r>
        <w:rPr>
          <w:sz w:val="20"/>
          <w:szCs w:val="20"/>
        </w:rPr>
        <w:t>matriculated</w:t>
      </w:r>
      <w:proofErr w:type="gramEnd"/>
      <w:r>
        <w:rPr>
          <w:sz w:val="20"/>
          <w:szCs w:val="20"/>
        </w:rPr>
        <w:t xml:space="preserve"> into a degree program at least one full semester and their PHCOR academic course plan approved. All graduate courses completed in non-matriculated status will be counted as part of the total graduate grade point average (GPA).</w:t>
      </w:r>
    </w:p>
    <w:p w14:paraId="24EFDEE5" w14:textId="77777777" w:rsidR="00D81755" w:rsidRDefault="00D81755">
      <w:pPr>
        <w:rPr>
          <w:sz w:val="20"/>
          <w:szCs w:val="20"/>
        </w:rPr>
      </w:pPr>
    </w:p>
    <w:p w14:paraId="24EFDEE6" w14:textId="77777777" w:rsidR="00D81755" w:rsidRDefault="0073296A">
      <w:pPr>
        <w:jc w:val="both"/>
        <w:rPr>
          <w:b/>
          <w:bCs/>
          <w:sz w:val="20"/>
          <w:szCs w:val="20"/>
        </w:rPr>
      </w:pPr>
      <w:r>
        <w:rPr>
          <w:b/>
          <w:bCs/>
          <w:sz w:val="20"/>
          <w:szCs w:val="20"/>
        </w:rPr>
        <w:t>Transfer from Other Institutions</w:t>
      </w:r>
    </w:p>
    <w:p w14:paraId="24EFDEE7" w14:textId="77777777" w:rsidR="00D81755" w:rsidRDefault="0073296A">
      <w:pPr>
        <w:rPr>
          <w:sz w:val="20"/>
          <w:szCs w:val="20"/>
        </w:rPr>
      </w:pPr>
      <w:r>
        <w:rPr>
          <w:sz w:val="20"/>
          <w:szCs w:val="20"/>
        </w:rPr>
        <w:t>A candidate for a degree may petition to transfer graduate credits from another institution toward their degree requirements. These credits must be from an institution authorized to grant graduate degrees by recognized accredited commissions and meet the following guidelines:</w:t>
      </w:r>
    </w:p>
    <w:p w14:paraId="24EFDEE8" w14:textId="77777777" w:rsidR="00D81755" w:rsidRDefault="0073296A">
      <w:pPr>
        <w:numPr>
          <w:ilvl w:val="0"/>
          <w:numId w:val="19"/>
        </w:numPr>
        <w:spacing w:after="160"/>
        <w:rPr>
          <w:sz w:val="20"/>
          <w:szCs w:val="20"/>
        </w:rPr>
      </w:pPr>
      <w:r>
        <w:rPr>
          <w:sz w:val="20"/>
          <w:szCs w:val="20"/>
        </w:rPr>
        <w:t>Credits must not have been used to fulfill the requirements for either a baccalaureate or another advanced degree or certificate.</w:t>
      </w:r>
    </w:p>
    <w:p w14:paraId="24EFDEE9" w14:textId="77777777" w:rsidR="00D81755" w:rsidRDefault="0073296A">
      <w:pPr>
        <w:numPr>
          <w:ilvl w:val="0"/>
          <w:numId w:val="19"/>
        </w:numPr>
        <w:spacing w:after="160"/>
        <w:rPr>
          <w:sz w:val="20"/>
          <w:szCs w:val="20"/>
        </w:rPr>
      </w:pPr>
      <w:r>
        <w:rPr>
          <w:sz w:val="20"/>
          <w:szCs w:val="20"/>
        </w:rPr>
        <w:t>Credits must not be more than five years old at the time the student is admitted to graduate study at Stony Brook. Courses older than five years will be accepted only in rare circumstances.</w:t>
      </w:r>
    </w:p>
    <w:p w14:paraId="24EFDEEA" w14:textId="77777777" w:rsidR="00D81755" w:rsidRDefault="0073296A">
      <w:pPr>
        <w:numPr>
          <w:ilvl w:val="0"/>
          <w:numId w:val="19"/>
        </w:numPr>
        <w:spacing w:after="160"/>
        <w:rPr>
          <w:sz w:val="20"/>
          <w:szCs w:val="20"/>
        </w:rPr>
      </w:pPr>
      <w:r>
        <w:rPr>
          <w:sz w:val="20"/>
          <w:szCs w:val="20"/>
        </w:rPr>
        <w:t>A course listed as both graduate and/or undergraduate level will not be considered for transfer.</w:t>
      </w:r>
    </w:p>
    <w:p w14:paraId="24EFDEEB" w14:textId="77777777" w:rsidR="00D81755" w:rsidRDefault="0073296A">
      <w:pPr>
        <w:numPr>
          <w:ilvl w:val="0"/>
          <w:numId w:val="19"/>
        </w:numPr>
        <w:spacing w:after="160"/>
        <w:rPr>
          <w:sz w:val="20"/>
          <w:szCs w:val="20"/>
        </w:rPr>
      </w:pPr>
      <w:r>
        <w:rPr>
          <w:sz w:val="20"/>
          <w:szCs w:val="20"/>
        </w:rPr>
        <w:t>Credits must carry the grades of A or B. “Pass</w:t>
      </w:r>
      <w:proofErr w:type="gramStart"/>
      <w:r>
        <w:rPr>
          <w:sz w:val="20"/>
          <w:szCs w:val="20"/>
        </w:rPr>
        <w:t>”</w:t>
      </w:r>
      <w:proofErr w:type="gramEnd"/>
      <w:r>
        <w:rPr>
          <w:sz w:val="20"/>
          <w:szCs w:val="20"/>
        </w:rPr>
        <w:t xml:space="preserve"> or “Satisfactory” grades are not transferable unless these grades can be substantiated by the former institution as B (3.0) or better.</w:t>
      </w:r>
    </w:p>
    <w:p w14:paraId="24EFDEEC" w14:textId="77777777" w:rsidR="00D81755" w:rsidRDefault="0073296A">
      <w:pPr>
        <w:numPr>
          <w:ilvl w:val="0"/>
          <w:numId w:val="19"/>
        </w:numPr>
        <w:spacing w:after="160"/>
        <w:rPr>
          <w:sz w:val="20"/>
          <w:szCs w:val="20"/>
        </w:rPr>
      </w:pPr>
      <w:r>
        <w:rPr>
          <w:sz w:val="20"/>
          <w:szCs w:val="20"/>
        </w:rPr>
        <w:t>Grades earned in transferred courses are not counted as part of the overall GPA at Stony Brook.</w:t>
      </w:r>
    </w:p>
    <w:p w14:paraId="24EFDEED" w14:textId="77777777" w:rsidR="00D81755" w:rsidRDefault="0073296A">
      <w:pPr>
        <w:jc w:val="both"/>
        <w:rPr>
          <w:b/>
          <w:bCs/>
          <w:sz w:val="20"/>
          <w:szCs w:val="20"/>
        </w:rPr>
      </w:pPr>
      <w:r>
        <w:rPr>
          <w:b/>
          <w:bCs/>
          <w:sz w:val="20"/>
          <w:szCs w:val="20"/>
        </w:rPr>
        <w:t>Transfer Between Primary and Secondary Programs</w:t>
      </w:r>
    </w:p>
    <w:p w14:paraId="24EFDEEE" w14:textId="77777777" w:rsidR="00D81755" w:rsidRDefault="0073296A">
      <w:pPr>
        <w:rPr>
          <w:sz w:val="20"/>
          <w:szCs w:val="20"/>
        </w:rPr>
      </w:pPr>
      <w:r>
        <w:rPr>
          <w:sz w:val="20"/>
          <w:szCs w:val="20"/>
        </w:rPr>
        <w:t>A maximum of 12 graduate credits from Stony Brook, which were earned in a primary program prior to a student being accepted into a secondary program, can be applied to the secondary program. Credits applied to the degree requirements of a primary program cannot be applied toward the degree requirements of a secondary program.</w:t>
      </w:r>
    </w:p>
    <w:p w14:paraId="24EFDEEF" w14:textId="77777777" w:rsidR="00D81755" w:rsidRDefault="0073296A">
      <w:pPr>
        <w:rPr>
          <w:sz w:val="20"/>
          <w:szCs w:val="20"/>
        </w:rPr>
      </w:pPr>
      <w:r>
        <w:rPr>
          <w:sz w:val="20"/>
          <w:szCs w:val="20"/>
        </w:rPr>
        <w:t>Note: Please see any additional distributed PHCOR Program policies regarding Transfer Credits. Questions should be directed to the PHCOR Program Director.</w:t>
      </w:r>
    </w:p>
    <w:p w14:paraId="24EFDEF0" w14:textId="77777777" w:rsidR="00D81755" w:rsidRDefault="00D81755">
      <w:pPr>
        <w:rPr>
          <w:b/>
          <w:bCs/>
          <w:sz w:val="20"/>
          <w:szCs w:val="20"/>
        </w:rPr>
      </w:pPr>
    </w:p>
    <w:p w14:paraId="24EFDEF1" w14:textId="77777777" w:rsidR="00D81755" w:rsidRDefault="0073296A">
      <w:pPr>
        <w:pStyle w:val="Heading2"/>
      </w:pPr>
      <w:bookmarkStart w:id="45" w:name="_heading=h.r7xdaclnb0uy" w:colFirst="0" w:colLast="0"/>
      <w:bookmarkEnd w:id="45"/>
      <w:r>
        <w:t>ADDITIONAL REQUIREMENTS</w:t>
      </w:r>
    </w:p>
    <w:p w14:paraId="24EFDEF2" w14:textId="77777777" w:rsidR="00D81755" w:rsidRDefault="0073296A">
      <w:pPr>
        <w:rPr>
          <w:sz w:val="20"/>
          <w:szCs w:val="20"/>
        </w:rPr>
      </w:pPr>
      <w:r>
        <w:rPr>
          <w:sz w:val="20"/>
          <w:szCs w:val="20"/>
        </w:rPr>
        <w:t xml:space="preserve">In addition to the core and concentration course requirements, doctoral students will be required to pass a preliminary written examination, submit and have approved a dissertation proposal, submit a dissertation with three publishable manuscripts, and orally defend their dissertation. Please also refer to the </w:t>
      </w:r>
      <w:hyperlink r:id="rId43">
        <w:r>
          <w:rPr>
            <w:color w:val="0000FF"/>
            <w:sz w:val="20"/>
            <w:szCs w:val="20"/>
            <w:u w:val="single"/>
          </w:rPr>
          <w:t>Graduate Catalog</w:t>
        </w:r>
      </w:hyperlink>
      <w:r>
        <w:rPr>
          <w:sz w:val="20"/>
          <w:szCs w:val="20"/>
        </w:rPr>
        <w:t xml:space="preserve"> for university-wide requirements for a PhD.</w:t>
      </w:r>
    </w:p>
    <w:p w14:paraId="24EFDEF3" w14:textId="77777777" w:rsidR="00D81755" w:rsidRDefault="00D81755">
      <w:pPr>
        <w:jc w:val="both"/>
        <w:rPr>
          <w:b/>
          <w:bCs/>
          <w:sz w:val="20"/>
          <w:szCs w:val="20"/>
        </w:rPr>
      </w:pPr>
    </w:p>
    <w:p w14:paraId="24EFDEF4" w14:textId="77777777" w:rsidR="00D81755" w:rsidRDefault="0073296A">
      <w:pPr>
        <w:jc w:val="both"/>
        <w:rPr>
          <w:b/>
          <w:bCs/>
          <w:sz w:val="20"/>
          <w:szCs w:val="20"/>
        </w:rPr>
      </w:pPr>
      <w:r>
        <w:rPr>
          <w:b/>
          <w:bCs/>
          <w:sz w:val="20"/>
          <w:szCs w:val="20"/>
        </w:rPr>
        <w:t>Completion of the Preliminary Written Exam</w:t>
      </w:r>
    </w:p>
    <w:p w14:paraId="24EFDEF5" w14:textId="77777777" w:rsidR="00D81755" w:rsidRDefault="0073296A">
      <w:pPr>
        <w:rPr>
          <w:sz w:val="20"/>
          <w:szCs w:val="20"/>
        </w:rPr>
      </w:pPr>
      <w:r>
        <w:rPr>
          <w:sz w:val="20"/>
          <w:szCs w:val="20"/>
        </w:rPr>
        <w:t xml:space="preserve">Doctoral students will be required to pass a preliminary examination. The Preliminary Examination will emphasize the integration of the student’s knowledge and ability to conduct independent and methodologically rigorous dissertation research. The successful completion of this examination will allow the student to proceed towards the formal identification of their Dissertation Advisor and Dissertation Committee for the preparation and defense of the doctoral dissertation requirement. Completion of the comprehensive </w:t>
      </w:r>
      <w:r>
        <w:rPr>
          <w:sz w:val="20"/>
          <w:szCs w:val="20"/>
        </w:rPr>
        <w:lastRenderedPageBreak/>
        <w:t>exam is required by the end of the 2</w:t>
      </w:r>
      <w:r>
        <w:rPr>
          <w:sz w:val="20"/>
          <w:szCs w:val="20"/>
          <w:vertAlign w:val="superscript"/>
        </w:rPr>
        <w:t>nd</w:t>
      </w:r>
      <w:r>
        <w:rPr>
          <w:sz w:val="20"/>
          <w:szCs w:val="20"/>
        </w:rPr>
        <w:t xml:space="preserve"> summer. An extension by one semester requires approval by the Dissertation Advisor and Graduate Program Director.  Requests must be accompanied by </w:t>
      </w:r>
      <w:proofErr w:type="gramStart"/>
      <w:r>
        <w:rPr>
          <w:sz w:val="20"/>
          <w:szCs w:val="20"/>
        </w:rPr>
        <w:t>an academic</w:t>
      </w:r>
      <w:proofErr w:type="gramEnd"/>
      <w:r>
        <w:rPr>
          <w:sz w:val="20"/>
          <w:szCs w:val="20"/>
        </w:rPr>
        <w:t xml:space="preserve"> justification and a proposed submission date. Failure to pass the comprehensive exam by the end of the 5</w:t>
      </w:r>
      <w:r>
        <w:rPr>
          <w:sz w:val="20"/>
          <w:szCs w:val="20"/>
          <w:vertAlign w:val="superscript"/>
        </w:rPr>
        <w:t>th</w:t>
      </w:r>
      <w:r>
        <w:rPr>
          <w:sz w:val="20"/>
          <w:szCs w:val="20"/>
        </w:rPr>
        <w:t xml:space="preserve"> semester may result in withdrawal from the program. </w:t>
      </w:r>
    </w:p>
    <w:p w14:paraId="24EFDEF6" w14:textId="77777777" w:rsidR="00D81755" w:rsidRDefault="00D81755">
      <w:pPr>
        <w:jc w:val="both"/>
        <w:rPr>
          <w:b/>
          <w:bCs/>
          <w:sz w:val="20"/>
          <w:szCs w:val="20"/>
        </w:rPr>
      </w:pPr>
    </w:p>
    <w:p w14:paraId="24EFDEF7" w14:textId="77777777" w:rsidR="00D81755" w:rsidRDefault="0073296A">
      <w:pPr>
        <w:jc w:val="both"/>
        <w:rPr>
          <w:b/>
          <w:bCs/>
          <w:sz w:val="20"/>
          <w:szCs w:val="20"/>
        </w:rPr>
      </w:pPr>
      <w:r>
        <w:rPr>
          <w:b/>
          <w:bCs/>
          <w:sz w:val="20"/>
          <w:szCs w:val="20"/>
        </w:rPr>
        <w:t>Dissertation</w:t>
      </w:r>
    </w:p>
    <w:p w14:paraId="24EFDEF8" w14:textId="77777777" w:rsidR="00D81755" w:rsidRDefault="0073296A">
      <w:pPr>
        <w:rPr>
          <w:sz w:val="20"/>
          <w:szCs w:val="20"/>
        </w:rPr>
      </w:pPr>
      <w:r>
        <w:rPr>
          <w:sz w:val="20"/>
          <w:szCs w:val="20"/>
        </w:rPr>
        <w:t>The most important requirement for the Ph.D. degree is the dissertation, which must be an original scholarly investigation that meets the standards in the field for scholarly publications. Following the successful completion of the preliminary examination, students may be advanced to candidacy upon successful completion of all degree requirements of the Graduate School and program, other than the graduate seminars and the dissertation requirements. The Dean of the Graduate School confers this status upon recommendation from the Doctoral Program Director. Students must advance at least one year prior to the dissertation defense.</w:t>
      </w:r>
    </w:p>
    <w:p w14:paraId="24EFDEF9" w14:textId="77777777" w:rsidR="00D81755" w:rsidRDefault="00D81755">
      <w:pPr>
        <w:rPr>
          <w:sz w:val="20"/>
          <w:szCs w:val="20"/>
        </w:rPr>
      </w:pPr>
    </w:p>
    <w:p w14:paraId="24EFDEFA" w14:textId="77777777" w:rsidR="00D81755" w:rsidRDefault="0073296A">
      <w:pPr>
        <w:rPr>
          <w:sz w:val="20"/>
          <w:szCs w:val="20"/>
        </w:rPr>
      </w:pPr>
      <w:r>
        <w:rPr>
          <w:sz w:val="20"/>
          <w:szCs w:val="20"/>
        </w:rPr>
        <w:t xml:space="preserve">Dissertation research is the core of the PhD program, demonstrating the student’s ability to conduct original, rigorous, and meaningful research that contributes to improved population health and/or clinical outcomes. Students should select a topic that is aligned with their interests, draws on faculty expertise, and is within the scope of any funding agreement. The topic should be broad enough to allow for the preparation of at least three publishable papers in peer-reviewed journals. A proposal for the dissertation must be prepared, orally defended, and approved by the </w:t>
      </w:r>
      <w:proofErr w:type="gramStart"/>
      <w:r>
        <w:rPr>
          <w:sz w:val="20"/>
          <w:szCs w:val="20"/>
        </w:rPr>
        <w:t>student’s</w:t>
      </w:r>
      <w:proofErr w:type="gramEnd"/>
      <w:r>
        <w:rPr>
          <w:sz w:val="20"/>
          <w:szCs w:val="20"/>
        </w:rPr>
        <w:t xml:space="preserve"> Dissertation Advisor and committee, who are appointed by the Doctoral Program Director in consultation with the student. </w:t>
      </w:r>
    </w:p>
    <w:p w14:paraId="24EFDEFB" w14:textId="77777777" w:rsidR="00D81755" w:rsidRDefault="00D81755">
      <w:pPr>
        <w:rPr>
          <w:sz w:val="20"/>
          <w:szCs w:val="20"/>
        </w:rPr>
      </w:pPr>
    </w:p>
    <w:p w14:paraId="24EFDEFC" w14:textId="77777777" w:rsidR="00D81755" w:rsidRDefault="0073296A">
      <w:pPr>
        <w:rPr>
          <w:sz w:val="20"/>
          <w:szCs w:val="20"/>
        </w:rPr>
      </w:pPr>
      <w:r>
        <w:rPr>
          <w:sz w:val="20"/>
          <w:szCs w:val="20"/>
        </w:rPr>
        <w:t xml:space="preserve">Preliminary research to develop a dissertation topic will normally begin in the second year of study. The third year will be mainly devoted to developing and refining the doctoral research, culminating in a successful proposal defense early on, and to the research itself. For more </w:t>
      </w:r>
      <w:proofErr w:type="gramStart"/>
      <w:r>
        <w:rPr>
          <w:sz w:val="20"/>
          <w:szCs w:val="20"/>
        </w:rPr>
        <w:t>detail</w:t>
      </w:r>
      <w:proofErr w:type="gramEnd"/>
      <w:r>
        <w:rPr>
          <w:sz w:val="20"/>
          <w:szCs w:val="20"/>
        </w:rPr>
        <w:t xml:space="preserve"> on the dissertation process, please see the section ‘Student Milestones’ in the PPH Handbook. </w:t>
      </w:r>
    </w:p>
    <w:p w14:paraId="24EFDEFD" w14:textId="77777777" w:rsidR="00D81755" w:rsidRDefault="00D81755">
      <w:pPr>
        <w:rPr>
          <w:sz w:val="20"/>
          <w:szCs w:val="20"/>
        </w:rPr>
      </w:pPr>
    </w:p>
    <w:p w14:paraId="24EFDEFE" w14:textId="77777777" w:rsidR="00D81755" w:rsidRDefault="0073296A">
      <w:pPr>
        <w:rPr>
          <w:sz w:val="20"/>
          <w:szCs w:val="20"/>
        </w:rPr>
      </w:pPr>
      <w:r>
        <w:rPr>
          <w:sz w:val="20"/>
          <w:szCs w:val="20"/>
        </w:rPr>
        <w:t>Seminars organized by the program related to research in progress (i.e., a formal research in-progress presentation) will provide an opportunity for students to present their dissertation material to other students and interested faculty. Upon approval of the Dissertation Advisor (and approval of the Graduate Program Director), a public presentation with a defense of the dissertation will be scheduled. Additional requirements for the dissertation may be found in the Graduate School Bulletin under “Degree Requirements”.</w:t>
      </w:r>
    </w:p>
    <w:p w14:paraId="24EFDEFF" w14:textId="77777777" w:rsidR="00D81755" w:rsidRDefault="00D81755">
      <w:pPr>
        <w:rPr>
          <w:sz w:val="20"/>
          <w:szCs w:val="20"/>
        </w:rPr>
      </w:pPr>
    </w:p>
    <w:p w14:paraId="24EFDF00" w14:textId="77777777" w:rsidR="00D81755" w:rsidRDefault="0073296A">
      <w:pPr>
        <w:jc w:val="both"/>
        <w:rPr>
          <w:b/>
          <w:bCs/>
          <w:sz w:val="20"/>
          <w:szCs w:val="20"/>
        </w:rPr>
      </w:pPr>
      <w:r>
        <w:rPr>
          <w:b/>
          <w:bCs/>
          <w:sz w:val="20"/>
          <w:szCs w:val="20"/>
        </w:rPr>
        <w:t>Practicum in Teaching</w:t>
      </w:r>
    </w:p>
    <w:p w14:paraId="24EFDF01" w14:textId="77777777" w:rsidR="00D81755" w:rsidRDefault="0073296A">
      <w:pPr>
        <w:rPr>
          <w:b/>
          <w:bCs/>
          <w:i/>
          <w:iCs/>
          <w:sz w:val="20"/>
          <w:szCs w:val="20"/>
        </w:rPr>
      </w:pPr>
      <w:r>
        <w:rPr>
          <w:sz w:val="20"/>
          <w:szCs w:val="20"/>
        </w:rPr>
        <w:t>Doctoral students will be provided with teaching opportunities and are expected to develop their teaching skills through two 3-credit courses completed in a sequence (a total of 6 credit hours). These teaching courses can be completed before or after the Preliminary Examination is passed. Teaching opportunities for doctoral students will include undergraduate and graduate teaching, and may include in-person, hybrid, or fully online courses depending on teaching needs and availability of courses.</w:t>
      </w:r>
    </w:p>
    <w:p w14:paraId="24EFDF02" w14:textId="77777777" w:rsidR="00D81755" w:rsidRDefault="00D81755">
      <w:pPr>
        <w:jc w:val="both"/>
        <w:rPr>
          <w:b/>
          <w:bCs/>
          <w:sz w:val="20"/>
          <w:szCs w:val="20"/>
        </w:rPr>
      </w:pPr>
    </w:p>
    <w:p w14:paraId="24EFDF03" w14:textId="77777777" w:rsidR="00D81755" w:rsidRDefault="0073296A">
      <w:pPr>
        <w:jc w:val="both"/>
        <w:rPr>
          <w:b/>
          <w:bCs/>
          <w:sz w:val="20"/>
          <w:szCs w:val="20"/>
        </w:rPr>
      </w:pPr>
      <w:r>
        <w:rPr>
          <w:b/>
          <w:bCs/>
          <w:sz w:val="20"/>
          <w:szCs w:val="20"/>
        </w:rPr>
        <w:t xml:space="preserve">Statute of Limitations / Expected Graduation Term </w:t>
      </w:r>
    </w:p>
    <w:p w14:paraId="24EFDF04" w14:textId="77777777" w:rsidR="00D81755" w:rsidRDefault="0073296A">
      <w:pPr>
        <w:rPr>
          <w:sz w:val="20"/>
          <w:szCs w:val="20"/>
        </w:rPr>
      </w:pPr>
      <w:r>
        <w:rPr>
          <w:sz w:val="20"/>
          <w:szCs w:val="20"/>
        </w:rPr>
        <w:t xml:space="preserve">The Statute of Limitations (SOL) is the period within which all PhD degree requirements must be completed. At Stony Brook, this is set at seven years from matriculation for a student who has a closely related previous graduate degree or 24 credits of graduate study in such a degree program. For all other students, the time limit for a doctoral degree is seven years after completion of 24 graduate level credits at Stony Brook University (see </w:t>
      </w:r>
      <w:hyperlink r:id="rId44">
        <w:r>
          <w:rPr>
            <w:color w:val="1155CC"/>
            <w:sz w:val="20"/>
            <w:szCs w:val="20"/>
            <w:u w:val="single"/>
          </w:rPr>
          <w:t>Doctor of Philosophy time limit in the Graduate Catalog</w:t>
        </w:r>
      </w:hyperlink>
      <w:r>
        <w:rPr>
          <w:sz w:val="20"/>
          <w:szCs w:val="20"/>
        </w:rPr>
        <w:t xml:space="preserve">). </w:t>
      </w:r>
    </w:p>
    <w:p w14:paraId="24EFDF05" w14:textId="77777777" w:rsidR="00D81755" w:rsidRDefault="00D81755">
      <w:pPr>
        <w:jc w:val="both"/>
        <w:rPr>
          <w:b/>
          <w:bCs/>
          <w:sz w:val="20"/>
          <w:szCs w:val="20"/>
        </w:rPr>
      </w:pPr>
    </w:p>
    <w:p w14:paraId="24EFDF06" w14:textId="77777777" w:rsidR="00D81755" w:rsidRDefault="0073296A">
      <w:pPr>
        <w:jc w:val="both"/>
        <w:rPr>
          <w:b/>
          <w:bCs/>
          <w:sz w:val="20"/>
          <w:szCs w:val="20"/>
        </w:rPr>
      </w:pPr>
      <w:r>
        <w:rPr>
          <w:b/>
          <w:bCs/>
          <w:sz w:val="20"/>
          <w:szCs w:val="20"/>
        </w:rPr>
        <w:t>Research Assistant, Graduate Assistant, and Teaching Assistant Responsibilities</w:t>
      </w:r>
    </w:p>
    <w:p w14:paraId="24EFDF07" w14:textId="77777777" w:rsidR="00D81755" w:rsidRDefault="0073296A">
      <w:pPr>
        <w:rPr>
          <w:sz w:val="20"/>
          <w:szCs w:val="20"/>
        </w:rPr>
      </w:pPr>
      <w:r>
        <w:rPr>
          <w:sz w:val="20"/>
          <w:szCs w:val="20"/>
        </w:rPr>
        <w:t xml:space="preserve">PhD students may be </w:t>
      </w:r>
      <w:proofErr w:type="gramStart"/>
      <w:r>
        <w:rPr>
          <w:sz w:val="20"/>
          <w:szCs w:val="20"/>
        </w:rPr>
        <w:t>provided</w:t>
      </w:r>
      <w:proofErr w:type="gramEnd"/>
      <w:r>
        <w:rPr>
          <w:sz w:val="20"/>
          <w:szCs w:val="20"/>
        </w:rPr>
        <w:t xml:space="preserve"> funding that includes an in-state tuition waiver and/or a competitive stipend. Funding comes either through signed agreements with clinical departments in the School of Medicine at Stony Brook, or through TA/GA/RA lines from </w:t>
      </w:r>
      <w:proofErr w:type="gramStart"/>
      <w:r>
        <w:rPr>
          <w:sz w:val="20"/>
          <w:szCs w:val="20"/>
        </w:rPr>
        <w:t>the graduate</w:t>
      </w:r>
      <w:proofErr w:type="gramEnd"/>
      <w:r>
        <w:rPr>
          <w:sz w:val="20"/>
          <w:szCs w:val="20"/>
        </w:rPr>
        <w:t xml:space="preserve"> school. The selected doctoral research assistants typically either work 20 hours per week on research projects with a mentor within the sponsoring clinical </w:t>
      </w:r>
      <w:proofErr w:type="gramStart"/>
      <w:r>
        <w:rPr>
          <w:sz w:val="20"/>
          <w:szCs w:val="20"/>
        </w:rPr>
        <w:t>department, or</w:t>
      </w:r>
      <w:proofErr w:type="gramEnd"/>
      <w:r>
        <w:rPr>
          <w:sz w:val="20"/>
          <w:szCs w:val="20"/>
        </w:rPr>
        <w:t xml:space="preserve"> provide 20 hours of TA/GA/RA support to faculty in the Program in Public Health. Any such responsibilities will be communicated in writing at the beginning of each year through a finding commitment letter. These hours are in service of their sponsoring clinical department or PPH faculty; these hours are </w:t>
      </w:r>
      <w:r>
        <w:rPr>
          <w:sz w:val="20"/>
          <w:szCs w:val="20"/>
          <w:u w:val="single"/>
        </w:rPr>
        <w:t>not</w:t>
      </w:r>
      <w:r>
        <w:rPr>
          <w:sz w:val="20"/>
          <w:szCs w:val="20"/>
        </w:rPr>
        <w:t xml:space="preserve"> part of the students’ dissertation research. Students are required to keep </w:t>
      </w:r>
      <w:proofErr w:type="gramStart"/>
      <w:r>
        <w:rPr>
          <w:sz w:val="20"/>
          <w:szCs w:val="20"/>
        </w:rPr>
        <w:t>a log of</w:t>
      </w:r>
      <w:proofErr w:type="gramEnd"/>
      <w:r>
        <w:rPr>
          <w:sz w:val="20"/>
          <w:szCs w:val="20"/>
        </w:rPr>
        <w:t xml:space="preserve"> the hours they work, and to regularly review progress with their advisor. </w:t>
      </w:r>
      <w:r>
        <w:rPr>
          <w:b/>
          <w:bCs/>
          <w:i/>
          <w:iCs/>
          <w:sz w:val="20"/>
          <w:szCs w:val="20"/>
        </w:rPr>
        <w:t xml:space="preserve"> </w:t>
      </w:r>
      <w:r>
        <w:rPr>
          <w:sz w:val="20"/>
          <w:szCs w:val="20"/>
        </w:rPr>
        <w:t xml:space="preserve">A lack of compliance with the TA/GA/RA expectations will result in the loss of student funding. Moreover, failure to progress through academic milestones may result in reduced funding. </w:t>
      </w:r>
    </w:p>
    <w:p w14:paraId="24EFDF08" w14:textId="77777777" w:rsidR="00D81755" w:rsidRDefault="00D81755">
      <w:pPr>
        <w:jc w:val="both"/>
        <w:rPr>
          <w:b/>
          <w:bCs/>
          <w:sz w:val="20"/>
          <w:szCs w:val="20"/>
        </w:rPr>
      </w:pPr>
    </w:p>
    <w:p w14:paraId="24EFDF09" w14:textId="77777777" w:rsidR="00D81755" w:rsidRDefault="0073296A">
      <w:pPr>
        <w:pStyle w:val="Heading2"/>
        <w:rPr>
          <w:b w:val="0"/>
          <w:bCs w:val="0"/>
        </w:rPr>
      </w:pPr>
      <w:bookmarkStart w:id="46" w:name="_heading=h.61pufqmx6b2a" w:colFirst="0" w:colLast="0"/>
      <w:bookmarkEnd w:id="46"/>
      <w:r>
        <w:t xml:space="preserve">STUDENT MILESTONES </w:t>
      </w:r>
    </w:p>
    <w:p w14:paraId="24EFDF0A" w14:textId="77777777" w:rsidR="00D81755" w:rsidRDefault="0073296A">
      <w:pPr>
        <w:rPr>
          <w:sz w:val="20"/>
          <w:szCs w:val="20"/>
        </w:rPr>
      </w:pPr>
      <w:r>
        <w:rPr>
          <w:sz w:val="20"/>
          <w:szCs w:val="20"/>
        </w:rPr>
        <w:t>PhD Student milestones are key benchmarks that ensure timely progress through the PhD program. The following milestones are described in further detail below:</w:t>
      </w:r>
    </w:p>
    <w:sdt>
      <w:sdtPr>
        <w:id w:val="2014132089"/>
        <w:docPartObj>
          <w:docPartGallery w:val="Table of Contents"/>
          <w:docPartUnique/>
        </w:docPartObj>
      </w:sdtPr>
      <w:sdtEndPr/>
      <w:sdtContent>
        <w:p w14:paraId="24EFDF0B" w14:textId="77777777" w:rsidR="00D81755" w:rsidRDefault="0073296A">
          <w:pPr>
            <w:pBdr>
              <w:top w:val="nil"/>
              <w:left w:val="nil"/>
              <w:bottom w:val="nil"/>
              <w:right w:val="nil"/>
              <w:between w:val="nil"/>
            </w:pBdr>
            <w:tabs>
              <w:tab w:val="right" w:pos="9350"/>
            </w:tabs>
            <w:spacing w:before="120" w:after="120"/>
            <w:rPr>
              <w:smallCaps/>
              <w:color w:val="000000"/>
              <w:sz w:val="20"/>
              <w:szCs w:val="20"/>
            </w:rPr>
          </w:pPr>
          <w:r>
            <w:fldChar w:fldCharType="begin"/>
          </w:r>
          <w:r>
            <w:instrText xml:space="preserve"> TOC \h \u \z \n \t "Heading 1,1,Heading 2,2,Heading 3,3,"</w:instrText>
          </w:r>
          <w:r>
            <w:fldChar w:fldCharType="separate"/>
          </w:r>
          <w:hyperlink w:anchor="_heading=h.2o3nzsk4l6ya">
            <w:r>
              <w:rPr>
                <w:b/>
                <w:bCs/>
                <w:smallCaps/>
                <w:color w:val="000000"/>
                <w:sz w:val="20"/>
                <w:szCs w:val="20"/>
              </w:rPr>
              <w:t>1. Dissertation Advisor Selection</w:t>
            </w:r>
          </w:hyperlink>
        </w:p>
        <w:p w14:paraId="24EFDF0C" w14:textId="77777777" w:rsidR="00D81755" w:rsidRDefault="0073296A">
          <w:pPr>
            <w:pBdr>
              <w:top w:val="nil"/>
              <w:left w:val="nil"/>
              <w:bottom w:val="nil"/>
              <w:right w:val="nil"/>
              <w:between w:val="nil"/>
            </w:pBdr>
            <w:tabs>
              <w:tab w:val="right" w:pos="9350"/>
            </w:tabs>
            <w:spacing w:before="120" w:after="120"/>
            <w:rPr>
              <w:smallCaps/>
              <w:color w:val="000000"/>
              <w:sz w:val="20"/>
              <w:szCs w:val="20"/>
            </w:rPr>
          </w:pPr>
          <w:hyperlink w:anchor="_heading=h.rbzz22hu6smb">
            <w:r>
              <w:rPr>
                <w:b/>
                <w:bCs/>
                <w:smallCaps/>
                <w:color w:val="000000"/>
                <w:sz w:val="20"/>
                <w:szCs w:val="20"/>
              </w:rPr>
              <w:t>2. Progress Review</w:t>
            </w:r>
          </w:hyperlink>
        </w:p>
        <w:p w14:paraId="24EFDF0D" w14:textId="77777777" w:rsidR="00D81755" w:rsidRDefault="0073296A">
          <w:pPr>
            <w:pBdr>
              <w:top w:val="nil"/>
              <w:left w:val="nil"/>
              <w:bottom w:val="nil"/>
              <w:right w:val="nil"/>
              <w:between w:val="nil"/>
            </w:pBdr>
            <w:tabs>
              <w:tab w:val="right" w:pos="9350"/>
            </w:tabs>
            <w:spacing w:before="120" w:after="120"/>
            <w:rPr>
              <w:smallCaps/>
              <w:color w:val="000000"/>
              <w:sz w:val="20"/>
              <w:szCs w:val="20"/>
            </w:rPr>
          </w:pPr>
          <w:hyperlink w:anchor="_heading=h.o54c6jqh1pjs">
            <w:r>
              <w:rPr>
                <w:b/>
                <w:bCs/>
                <w:smallCaps/>
                <w:color w:val="000000"/>
                <w:sz w:val="20"/>
                <w:szCs w:val="20"/>
              </w:rPr>
              <w:t>3. Coursework Completion</w:t>
            </w:r>
          </w:hyperlink>
        </w:p>
        <w:p w14:paraId="24EFDF0E" w14:textId="77777777" w:rsidR="00D81755" w:rsidRDefault="0073296A">
          <w:pPr>
            <w:pBdr>
              <w:top w:val="nil"/>
              <w:left w:val="nil"/>
              <w:bottom w:val="nil"/>
              <w:right w:val="nil"/>
              <w:between w:val="nil"/>
            </w:pBdr>
            <w:tabs>
              <w:tab w:val="right" w:pos="9350"/>
            </w:tabs>
            <w:spacing w:before="120" w:after="120"/>
            <w:rPr>
              <w:smallCaps/>
              <w:color w:val="000000"/>
              <w:sz w:val="20"/>
              <w:szCs w:val="20"/>
            </w:rPr>
          </w:pPr>
          <w:hyperlink w:anchor="_heading=h.vox2di3w1myt">
            <w:r>
              <w:rPr>
                <w:b/>
                <w:bCs/>
                <w:smallCaps/>
                <w:color w:val="000000"/>
                <w:sz w:val="20"/>
                <w:szCs w:val="20"/>
              </w:rPr>
              <w:t>4. Dissertation Committee Formation</w:t>
            </w:r>
          </w:hyperlink>
        </w:p>
        <w:p w14:paraId="24EFDF0F" w14:textId="77777777" w:rsidR="00D81755" w:rsidRDefault="0073296A">
          <w:pPr>
            <w:pBdr>
              <w:top w:val="nil"/>
              <w:left w:val="nil"/>
              <w:bottom w:val="nil"/>
              <w:right w:val="nil"/>
              <w:between w:val="nil"/>
            </w:pBdr>
            <w:tabs>
              <w:tab w:val="right" w:pos="9350"/>
            </w:tabs>
            <w:spacing w:before="120" w:after="120"/>
            <w:rPr>
              <w:smallCaps/>
              <w:color w:val="000000"/>
              <w:sz w:val="20"/>
              <w:szCs w:val="20"/>
            </w:rPr>
          </w:pPr>
          <w:hyperlink w:anchor="_heading=h.kp94uep1p8ty">
            <w:r>
              <w:rPr>
                <w:b/>
                <w:bCs/>
                <w:smallCaps/>
                <w:color w:val="000000"/>
                <w:sz w:val="20"/>
                <w:szCs w:val="20"/>
              </w:rPr>
              <w:t>5. Preliminary Written Examination</w:t>
            </w:r>
          </w:hyperlink>
        </w:p>
        <w:p w14:paraId="24EFDF10" w14:textId="77777777" w:rsidR="00D81755" w:rsidRDefault="0073296A">
          <w:pPr>
            <w:pBdr>
              <w:top w:val="nil"/>
              <w:left w:val="nil"/>
              <w:bottom w:val="nil"/>
              <w:right w:val="nil"/>
              <w:between w:val="nil"/>
            </w:pBdr>
            <w:tabs>
              <w:tab w:val="right" w:pos="9350"/>
            </w:tabs>
            <w:spacing w:before="120" w:after="120"/>
            <w:rPr>
              <w:smallCaps/>
              <w:color w:val="000000"/>
              <w:sz w:val="20"/>
              <w:szCs w:val="20"/>
            </w:rPr>
          </w:pPr>
          <w:hyperlink w:anchor="_heading=h.y3mfebrtfknw">
            <w:r>
              <w:rPr>
                <w:b/>
                <w:bCs/>
                <w:smallCaps/>
                <w:color w:val="000000"/>
                <w:sz w:val="20"/>
                <w:szCs w:val="20"/>
              </w:rPr>
              <w:t>6. Dissertation Proposal Defense</w:t>
            </w:r>
          </w:hyperlink>
        </w:p>
        <w:p w14:paraId="24EFDF11" w14:textId="77777777" w:rsidR="00D81755" w:rsidRDefault="0073296A">
          <w:pPr>
            <w:pBdr>
              <w:top w:val="nil"/>
              <w:left w:val="nil"/>
              <w:bottom w:val="nil"/>
              <w:right w:val="nil"/>
              <w:between w:val="nil"/>
            </w:pBdr>
            <w:tabs>
              <w:tab w:val="right" w:pos="9350"/>
            </w:tabs>
            <w:spacing w:before="120" w:after="120"/>
            <w:rPr>
              <w:smallCaps/>
              <w:color w:val="000000"/>
              <w:sz w:val="20"/>
              <w:szCs w:val="20"/>
            </w:rPr>
          </w:pPr>
          <w:hyperlink w:anchor="_heading=h.u3xm92ahl4uj">
            <w:r>
              <w:rPr>
                <w:b/>
                <w:bCs/>
                <w:smallCaps/>
                <w:color w:val="000000"/>
                <w:sz w:val="20"/>
                <w:szCs w:val="20"/>
              </w:rPr>
              <w:t>7. Dissertation Research</w:t>
            </w:r>
          </w:hyperlink>
        </w:p>
        <w:p w14:paraId="24EFDF12" w14:textId="77777777" w:rsidR="00D81755" w:rsidRDefault="0073296A">
          <w:pPr>
            <w:pBdr>
              <w:top w:val="nil"/>
              <w:left w:val="nil"/>
              <w:bottom w:val="nil"/>
              <w:right w:val="nil"/>
              <w:between w:val="nil"/>
            </w:pBdr>
            <w:tabs>
              <w:tab w:val="right" w:pos="9350"/>
            </w:tabs>
            <w:spacing w:before="120" w:after="120"/>
            <w:rPr>
              <w:smallCaps/>
              <w:color w:val="000000"/>
              <w:sz w:val="20"/>
              <w:szCs w:val="20"/>
            </w:rPr>
          </w:pPr>
          <w:hyperlink w:anchor="_heading=h.43i5uf67fh8u">
            <w:r>
              <w:rPr>
                <w:b/>
                <w:bCs/>
                <w:smallCaps/>
                <w:color w:val="000000"/>
                <w:sz w:val="20"/>
                <w:szCs w:val="20"/>
              </w:rPr>
              <w:t>8. Dissertation Defense</w:t>
            </w:r>
          </w:hyperlink>
        </w:p>
        <w:p w14:paraId="24EFDF13" w14:textId="77777777" w:rsidR="00D81755" w:rsidRDefault="0073296A">
          <w:pPr>
            <w:keepNext/>
            <w:keepLines/>
            <w:pBdr>
              <w:top w:val="nil"/>
              <w:left w:val="nil"/>
              <w:bottom w:val="nil"/>
              <w:right w:val="nil"/>
              <w:between w:val="nil"/>
            </w:pBdr>
            <w:tabs>
              <w:tab w:val="left" w:pos="1507"/>
            </w:tabs>
            <w:spacing w:before="480"/>
            <w:rPr>
              <w:b/>
              <w:bCs/>
              <w:color w:val="0F4761"/>
              <w:sz w:val="20"/>
              <w:szCs w:val="20"/>
            </w:rPr>
          </w:pPr>
          <w:r>
            <w:fldChar w:fldCharType="end"/>
          </w:r>
        </w:p>
      </w:sdtContent>
    </w:sdt>
    <w:p w14:paraId="24EFDF14" w14:textId="77777777" w:rsidR="00D81755" w:rsidRDefault="0073296A">
      <w:pPr>
        <w:rPr>
          <w:sz w:val="20"/>
          <w:szCs w:val="20"/>
        </w:rPr>
      </w:pPr>
      <w:bookmarkStart w:id="47" w:name="_heading=h.2o3nzsk4l6ya" w:colFirst="0" w:colLast="0"/>
      <w:bookmarkEnd w:id="47"/>
      <w:r>
        <w:rPr>
          <w:b/>
          <w:bCs/>
          <w:sz w:val="20"/>
          <w:szCs w:val="20"/>
        </w:rPr>
        <w:t xml:space="preserve">1. Dissertation Advisor Selection </w:t>
      </w:r>
    </w:p>
    <w:p w14:paraId="24EFDF15" w14:textId="77777777" w:rsidR="00D81755" w:rsidRDefault="0073296A">
      <w:pPr>
        <w:rPr>
          <w:sz w:val="20"/>
          <w:szCs w:val="20"/>
        </w:rPr>
      </w:pPr>
      <w:r>
        <w:rPr>
          <w:sz w:val="20"/>
          <w:szCs w:val="20"/>
        </w:rPr>
        <w:t xml:space="preserve">The role of the dissertation advisor(s) is to provide intellectual guidance to the student throughout the preparation of the dissertation. Dissertation advisor selection occurs at admission. The dissertation advisor must be a core faculty member in PPH to ensure that the student is given guidance consistent with PPH expectations. In many cases, a co-advisor from another department will be involved, assuming funding responsibility for the student and potentially overseeing their research. Students may petition the Program Director in writing for an </w:t>
      </w:r>
      <w:proofErr w:type="gramStart"/>
      <w:r>
        <w:rPr>
          <w:sz w:val="20"/>
          <w:szCs w:val="20"/>
        </w:rPr>
        <w:t>advisor</w:t>
      </w:r>
      <w:proofErr w:type="gramEnd"/>
      <w:r>
        <w:rPr>
          <w:sz w:val="20"/>
          <w:szCs w:val="20"/>
        </w:rPr>
        <w:t xml:space="preserve"> transition; such requests must include a justification. As student funding may be tied to the advisor’s grant or department, we encourage students to discuss any professional or research challenges with the Program Director as soon as possible. </w:t>
      </w:r>
    </w:p>
    <w:p w14:paraId="24EFDF16" w14:textId="77777777" w:rsidR="00D81755" w:rsidRDefault="00D81755">
      <w:pPr>
        <w:rPr>
          <w:sz w:val="20"/>
          <w:szCs w:val="20"/>
        </w:rPr>
      </w:pPr>
    </w:p>
    <w:p w14:paraId="24EFDF17" w14:textId="77777777" w:rsidR="00D81755" w:rsidRDefault="0073296A">
      <w:pPr>
        <w:rPr>
          <w:sz w:val="20"/>
          <w:szCs w:val="20"/>
        </w:rPr>
      </w:pPr>
      <w:bookmarkStart w:id="48" w:name="_heading=h.rbzz22hu6smb" w:colFirst="0" w:colLast="0"/>
      <w:bookmarkEnd w:id="48"/>
      <w:r>
        <w:rPr>
          <w:b/>
          <w:bCs/>
          <w:sz w:val="20"/>
          <w:szCs w:val="20"/>
        </w:rPr>
        <w:t xml:space="preserve">2. Progress Review </w:t>
      </w:r>
    </w:p>
    <w:p w14:paraId="24EFDF18" w14:textId="77777777" w:rsidR="00D81755" w:rsidRDefault="0073296A">
      <w:pPr>
        <w:rPr>
          <w:sz w:val="20"/>
          <w:szCs w:val="20"/>
        </w:rPr>
      </w:pPr>
      <w:r>
        <w:rPr>
          <w:sz w:val="20"/>
          <w:szCs w:val="20"/>
        </w:rPr>
        <w:t xml:space="preserve">Students should meet with their Dissertation Advisor on a regular basis. It is the student’s responsibility to schedule meetings. </w:t>
      </w:r>
    </w:p>
    <w:p w14:paraId="24EFDF19" w14:textId="77777777" w:rsidR="00D81755" w:rsidRDefault="00D81755">
      <w:pPr>
        <w:rPr>
          <w:sz w:val="20"/>
          <w:szCs w:val="20"/>
        </w:rPr>
      </w:pPr>
    </w:p>
    <w:p w14:paraId="24EFDF1A" w14:textId="77777777" w:rsidR="00D81755" w:rsidRDefault="0073296A">
      <w:pPr>
        <w:rPr>
          <w:sz w:val="20"/>
          <w:szCs w:val="20"/>
        </w:rPr>
      </w:pPr>
      <w:r>
        <w:rPr>
          <w:sz w:val="20"/>
          <w:szCs w:val="20"/>
        </w:rPr>
        <w:t xml:space="preserve">Students </w:t>
      </w:r>
      <w:r>
        <w:rPr>
          <w:sz w:val="20"/>
          <w:szCs w:val="20"/>
          <w:u w:val="single"/>
        </w:rPr>
        <w:t>must</w:t>
      </w:r>
      <w:r>
        <w:rPr>
          <w:sz w:val="20"/>
          <w:szCs w:val="20"/>
        </w:rPr>
        <w:t xml:space="preserve"> complete the ‘Monthly Progress Check-in Form’ prior to meetings and review it with their Advisor (see form for detailed instructions). Similarly, at the end of each academic year, students </w:t>
      </w:r>
      <w:r>
        <w:rPr>
          <w:sz w:val="20"/>
          <w:szCs w:val="20"/>
          <w:u w:val="single"/>
        </w:rPr>
        <w:t>must</w:t>
      </w:r>
      <w:r>
        <w:rPr>
          <w:sz w:val="20"/>
          <w:szCs w:val="20"/>
        </w:rPr>
        <w:t xml:space="preserve"> meet with their Dissertation Advisor to review their academic and research progress. Students are responsible for submitting the annual progress </w:t>
      </w:r>
      <w:proofErr w:type="gramStart"/>
      <w:r>
        <w:rPr>
          <w:sz w:val="20"/>
          <w:szCs w:val="20"/>
        </w:rPr>
        <w:t>report (‘</w:t>
      </w:r>
      <w:proofErr w:type="gramEnd"/>
      <w:r>
        <w:rPr>
          <w:sz w:val="20"/>
          <w:szCs w:val="20"/>
        </w:rPr>
        <w:t xml:space="preserve">PhD Student Milestone Annual Review’) by the end of the spring academic semester. These forms are only one way to facilitate regular communication and feedback about progress, challenges, and planned activities. Students should initiate and seek feedback from their Dissertation Advisor and Committee on a regular basis. If there are major challenges, it is best to schedule a meeting that includes the Program Director as soon as possible. </w:t>
      </w:r>
    </w:p>
    <w:p w14:paraId="24EFDF1B" w14:textId="77777777" w:rsidR="00D81755" w:rsidRDefault="00D81755">
      <w:pPr>
        <w:rPr>
          <w:sz w:val="20"/>
          <w:szCs w:val="20"/>
        </w:rPr>
      </w:pPr>
    </w:p>
    <w:p w14:paraId="24EFDF1C" w14:textId="77777777" w:rsidR="00D81755" w:rsidRDefault="0073296A">
      <w:pPr>
        <w:rPr>
          <w:sz w:val="20"/>
          <w:szCs w:val="20"/>
        </w:rPr>
      </w:pPr>
      <w:bookmarkStart w:id="49" w:name="_heading=h.o54c6jqh1pjs" w:colFirst="0" w:colLast="0"/>
      <w:bookmarkEnd w:id="49"/>
      <w:r>
        <w:rPr>
          <w:b/>
          <w:bCs/>
          <w:sz w:val="20"/>
          <w:szCs w:val="20"/>
        </w:rPr>
        <w:t xml:space="preserve">3. Coursework Completion </w:t>
      </w:r>
    </w:p>
    <w:p w14:paraId="24EFDF1D" w14:textId="77777777" w:rsidR="00D81755" w:rsidRDefault="0073296A">
      <w:pPr>
        <w:rPr>
          <w:sz w:val="20"/>
          <w:szCs w:val="20"/>
        </w:rPr>
      </w:pPr>
      <w:r>
        <w:rPr>
          <w:sz w:val="20"/>
          <w:szCs w:val="20"/>
        </w:rPr>
        <w:t>All required core courses should be completed with satisfactory grades (B or higher) by the end of the 4</w:t>
      </w:r>
      <w:r>
        <w:rPr>
          <w:sz w:val="20"/>
          <w:szCs w:val="20"/>
          <w:vertAlign w:val="superscript"/>
        </w:rPr>
        <w:t>th</w:t>
      </w:r>
      <w:r>
        <w:rPr>
          <w:sz w:val="20"/>
          <w:szCs w:val="20"/>
        </w:rPr>
        <w:t xml:space="preserve"> semester.  This will ensure that students have the necessary coursework to be able to submit their preliminary exam at or near the end of the second </w:t>
      </w:r>
      <w:proofErr w:type="gramStart"/>
      <w:r>
        <w:rPr>
          <w:sz w:val="20"/>
          <w:szCs w:val="20"/>
        </w:rPr>
        <w:t>year, and</w:t>
      </w:r>
      <w:proofErr w:type="gramEnd"/>
      <w:r>
        <w:rPr>
          <w:sz w:val="20"/>
          <w:szCs w:val="20"/>
        </w:rPr>
        <w:t xml:space="preserve"> then move quickly into their dissertation proposal and research. </w:t>
      </w:r>
    </w:p>
    <w:p w14:paraId="24EFDF1E" w14:textId="77777777" w:rsidR="00D81755" w:rsidRDefault="00D81755">
      <w:pPr>
        <w:rPr>
          <w:sz w:val="20"/>
          <w:szCs w:val="20"/>
        </w:rPr>
      </w:pPr>
    </w:p>
    <w:p w14:paraId="24EFDF1F" w14:textId="77777777" w:rsidR="00D81755" w:rsidRDefault="0073296A">
      <w:pPr>
        <w:rPr>
          <w:sz w:val="20"/>
          <w:szCs w:val="20"/>
        </w:rPr>
      </w:pPr>
      <w:r>
        <w:rPr>
          <w:sz w:val="20"/>
          <w:szCs w:val="20"/>
        </w:rPr>
        <w:t xml:space="preserve">We have included some flexibility for students who would like to spend more time preparing for their preliminary exam in year 2. To this end, students can choose to take Teaching at the University Level (HPD 692) and/or Practicum in Teaching (HPD 693) in their second year; alternatively, they can choose to delay such and have more time for their exam preparation. Students would then take these </w:t>
      </w:r>
      <w:proofErr w:type="gramStart"/>
      <w:r>
        <w:rPr>
          <w:sz w:val="20"/>
          <w:szCs w:val="20"/>
        </w:rPr>
        <w:t>courses</w:t>
      </w:r>
      <w:proofErr w:type="gramEnd"/>
      <w:r>
        <w:rPr>
          <w:sz w:val="20"/>
          <w:szCs w:val="20"/>
        </w:rPr>
        <w:t xml:space="preserve"> post-written exam in their third year. Finally, students who wish to take additional electives to complement their dissertation methodology and/or subject area will be free to do so in the third year or </w:t>
      </w:r>
      <w:proofErr w:type="gramStart"/>
      <w:r>
        <w:rPr>
          <w:sz w:val="20"/>
          <w:szCs w:val="20"/>
        </w:rPr>
        <w:t>beyond, but</w:t>
      </w:r>
      <w:proofErr w:type="gramEnd"/>
      <w:r>
        <w:rPr>
          <w:sz w:val="20"/>
          <w:szCs w:val="20"/>
        </w:rPr>
        <w:t xml:space="preserve"> are not required to take additional coursework during the dissertation phase. </w:t>
      </w:r>
    </w:p>
    <w:p w14:paraId="24EFDF20" w14:textId="77777777" w:rsidR="00D81755" w:rsidRDefault="00D81755">
      <w:pPr>
        <w:rPr>
          <w:b/>
          <w:bCs/>
          <w:sz w:val="20"/>
          <w:szCs w:val="20"/>
        </w:rPr>
      </w:pPr>
    </w:p>
    <w:p w14:paraId="24EFDF21" w14:textId="77777777" w:rsidR="00D81755" w:rsidRDefault="0073296A">
      <w:pPr>
        <w:rPr>
          <w:sz w:val="20"/>
          <w:szCs w:val="20"/>
        </w:rPr>
      </w:pPr>
      <w:bookmarkStart w:id="50" w:name="_heading=h.vox2di3w1myt" w:colFirst="0" w:colLast="0"/>
      <w:bookmarkEnd w:id="50"/>
      <w:r>
        <w:rPr>
          <w:b/>
          <w:bCs/>
          <w:sz w:val="20"/>
          <w:szCs w:val="20"/>
        </w:rPr>
        <w:t xml:space="preserve">4. Dissertation Committee Formation </w:t>
      </w:r>
    </w:p>
    <w:p w14:paraId="24EFDF22" w14:textId="77777777" w:rsidR="00D81755" w:rsidRDefault="0073296A">
      <w:pPr>
        <w:rPr>
          <w:sz w:val="20"/>
          <w:szCs w:val="20"/>
        </w:rPr>
      </w:pPr>
      <w:r>
        <w:rPr>
          <w:sz w:val="20"/>
          <w:szCs w:val="20"/>
        </w:rPr>
        <w:t xml:space="preserve">The Dissertation Committee provides guidance throughout the dissertation process. They are expected to provide feedback, evaluate proposals and the final dissertation, and participate in the defense.  The committee typically includes a Dissertation Advisor and at least two additional faculty members with relevant expertise. Their expertise may be in the subject matter of the dissertation or in specific methodologies that will be employed. Members provide significant, meaningful guidance throughout all stages of the dissertation research. Regular communication with committee members is recommended and is the responsibility of the student to initiate and seek guidance as needed. </w:t>
      </w:r>
    </w:p>
    <w:p w14:paraId="24EFDF23" w14:textId="77777777" w:rsidR="00D81755" w:rsidRDefault="00D81755">
      <w:pPr>
        <w:rPr>
          <w:sz w:val="20"/>
          <w:szCs w:val="20"/>
        </w:rPr>
      </w:pPr>
    </w:p>
    <w:p w14:paraId="24EFDF24" w14:textId="77777777" w:rsidR="00D81755" w:rsidRDefault="0073296A">
      <w:pPr>
        <w:rPr>
          <w:sz w:val="20"/>
          <w:szCs w:val="20"/>
        </w:rPr>
      </w:pPr>
      <w:bookmarkStart w:id="51" w:name="_heading=h.kp94uep1p8ty" w:colFirst="0" w:colLast="0"/>
      <w:bookmarkEnd w:id="51"/>
      <w:r>
        <w:rPr>
          <w:b/>
          <w:bCs/>
          <w:sz w:val="20"/>
          <w:szCs w:val="20"/>
        </w:rPr>
        <w:t xml:space="preserve">5. Preliminary Written Examination </w:t>
      </w:r>
    </w:p>
    <w:p w14:paraId="24EFDF25" w14:textId="77777777" w:rsidR="00D81755" w:rsidRDefault="0073296A">
      <w:pPr>
        <w:rPr>
          <w:sz w:val="20"/>
          <w:szCs w:val="20"/>
        </w:rPr>
      </w:pPr>
      <w:r>
        <w:rPr>
          <w:sz w:val="20"/>
          <w:szCs w:val="20"/>
        </w:rPr>
        <w:t xml:space="preserve">The preliminary written examination must be completed by the end of the second full academic year. </w:t>
      </w:r>
    </w:p>
    <w:p w14:paraId="24EFDF26" w14:textId="77777777" w:rsidR="00D81755" w:rsidRDefault="00D81755">
      <w:pPr>
        <w:rPr>
          <w:sz w:val="20"/>
          <w:szCs w:val="20"/>
        </w:rPr>
      </w:pPr>
    </w:p>
    <w:p w14:paraId="24EFDF27" w14:textId="77777777" w:rsidR="00D81755" w:rsidRDefault="0073296A">
      <w:pPr>
        <w:rPr>
          <w:sz w:val="20"/>
          <w:szCs w:val="20"/>
        </w:rPr>
      </w:pPr>
      <w:r>
        <w:rPr>
          <w:sz w:val="20"/>
          <w:szCs w:val="20"/>
        </w:rPr>
        <w:t xml:space="preserve">After coursework, students must demonstrate potential to engage in intellectually independent and methodologically rigorous dissertation research. In our program, this assessment is conducted through a preliminary written examination, also known as a comprehensive exam or ‘comps’.  Students are required to submit a publishable review related to their planned dissertation topic. The goal is </w:t>
      </w:r>
      <w:proofErr w:type="gramStart"/>
      <w:r>
        <w:rPr>
          <w:sz w:val="20"/>
          <w:szCs w:val="20"/>
        </w:rPr>
        <w:t>a publishable paper</w:t>
      </w:r>
      <w:proofErr w:type="gramEnd"/>
      <w:r>
        <w:rPr>
          <w:sz w:val="20"/>
          <w:szCs w:val="20"/>
        </w:rPr>
        <w:t xml:space="preserve"> that does not present primary data analyses. Typically, this takes the form of a systematic review or meta-analysis, though a paper that proposes a new model or theory framework is also eligible with permission. </w:t>
      </w:r>
    </w:p>
    <w:p w14:paraId="24EFDF28" w14:textId="77777777" w:rsidR="00D81755" w:rsidRDefault="00D81755">
      <w:pPr>
        <w:rPr>
          <w:sz w:val="20"/>
          <w:szCs w:val="20"/>
        </w:rPr>
      </w:pPr>
    </w:p>
    <w:p w14:paraId="24EFDF29" w14:textId="77777777" w:rsidR="00D81755" w:rsidRDefault="0073296A">
      <w:pPr>
        <w:rPr>
          <w:sz w:val="20"/>
          <w:szCs w:val="20"/>
        </w:rPr>
      </w:pPr>
      <w:r>
        <w:rPr>
          <w:sz w:val="20"/>
          <w:szCs w:val="20"/>
        </w:rPr>
        <w:lastRenderedPageBreak/>
        <w:t>Most students elect to complete a systematic review or meta-</w:t>
      </w:r>
      <w:proofErr w:type="gramStart"/>
      <w:r>
        <w:rPr>
          <w:sz w:val="20"/>
          <w:szCs w:val="20"/>
        </w:rPr>
        <w:t>analysis, and</w:t>
      </w:r>
      <w:proofErr w:type="gramEnd"/>
      <w:r>
        <w:rPr>
          <w:sz w:val="20"/>
          <w:szCs w:val="20"/>
        </w:rPr>
        <w:t xml:space="preserve"> align their progress with the required HPD 620 core course “Systematic Review of the Literature.” In HPD 620, students develop a research question and a detailed plan for carrying out a systematic review. Students must still secure approval of the plan by their PhD Dissertation Committee.  </w:t>
      </w:r>
      <w:r>
        <w:rPr>
          <w:sz w:val="20"/>
          <w:szCs w:val="20"/>
          <w:u w:val="single"/>
        </w:rPr>
        <w:t>All faculty involvement ends at this point</w:t>
      </w:r>
      <w:r>
        <w:rPr>
          <w:sz w:val="20"/>
          <w:szCs w:val="20"/>
        </w:rPr>
        <w:t>. To pass the preliminary exam, the student must submit a systematic review that meets the following criteria:</w:t>
      </w:r>
    </w:p>
    <w:p w14:paraId="24EFDF2A" w14:textId="77777777" w:rsidR="00D81755" w:rsidRDefault="00D81755">
      <w:pPr>
        <w:rPr>
          <w:sz w:val="20"/>
          <w:szCs w:val="20"/>
        </w:rPr>
      </w:pPr>
    </w:p>
    <w:p w14:paraId="24EFDF2B" w14:textId="77777777" w:rsidR="00D81755" w:rsidRDefault="0073296A">
      <w:pPr>
        <w:numPr>
          <w:ilvl w:val="0"/>
          <w:numId w:val="18"/>
        </w:numPr>
        <w:pBdr>
          <w:top w:val="nil"/>
          <w:left w:val="nil"/>
          <w:bottom w:val="nil"/>
          <w:right w:val="nil"/>
          <w:between w:val="nil"/>
        </w:pBdr>
        <w:rPr>
          <w:sz w:val="20"/>
          <w:szCs w:val="20"/>
        </w:rPr>
      </w:pPr>
      <w:r>
        <w:rPr>
          <w:color w:val="000000"/>
          <w:sz w:val="20"/>
          <w:szCs w:val="20"/>
        </w:rPr>
        <w:t>Reflect publishable quality and demonstrate independent scholarly competence</w:t>
      </w:r>
    </w:p>
    <w:p w14:paraId="24EFDF2C" w14:textId="77777777" w:rsidR="00D81755" w:rsidRDefault="0073296A">
      <w:pPr>
        <w:numPr>
          <w:ilvl w:val="0"/>
          <w:numId w:val="18"/>
        </w:numPr>
        <w:pBdr>
          <w:top w:val="nil"/>
          <w:left w:val="nil"/>
          <w:bottom w:val="nil"/>
          <w:right w:val="nil"/>
          <w:between w:val="nil"/>
        </w:pBdr>
        <w:rPr>
          <w:sz w:val="20"/>
          <w:szCs w:val="20"/>
        </w:rPr>
      </w:pPr>
      <w:proofErr w:type="gramStart"/>
      <w:r>
        <w:rPr>
          <w:color w:val="000000"/>
          <w:sz w:val="20"/>
          <w:szCs w:val="20"/>
        </w:rPr>
        <w:t>Clearly-articulated</w:t>
      </w:r>
      <w:proofErr w:type="gramEnd"/>
      <w:r>
        <w:rPr>
          <w:color w:val="000000"/>
          <w:sz w:val="20"/>
          <w:szCs w:val="20"/>
        </w:rPr>
        <w:t xml:space="preserve"> and focused research question that is relevant to the student’s planned dissertation topic</w:t>
      </w:r>
    </w:p>
    <w:p w14:paraId="24EFDF2D" w14:textId="77777777" w:rsidR="00D81755" w:rsidRDefault="0073296A">
      <w:pPr>
        <w:numPr>
          <w:ilvl w:val="0"/>
          <w:numId w:val="18"/>
        </w:numPr>
        <w:pBdr>
          <w:top w:val="nil"/>
          <w:left w:val="nil"/>
          <w:bottom w:val="nil"/>
          <w:right w:val="nil"/>
          <w:between w:val="nil"/>
        </w:pBdr>
        <w:rPr>
          <w:sz w:val="20"/>
          <w:szCs w:val="20"/>
        </w:rPr>
      </w:pPr>
      <w:r>
        <w:rPr>
          <w:color w:val="000000"/>
          <w:sz w:val="20"/>
          <w:szCs w:val="20"/>
        </w:rPr>
        <w:t>Application of rigorous methodology (</w:t>
      </w:r>
      <w:proofErr w:type="spellStart"/>
      <w:r>
        <w:rPr>
          <w:color w:val="000000"/>
          <w:sz w:val="20"/>
          <w:szCs w:val="20"/>
        </w:rPr>
        <w:t>eg</w:t>
      </w:r>
      <w:proofErr w:type="spellEnd"/>
      <w:r>
        <w:rPr>
          <w:color w:val="000000"/>
          <w:sz w:val="20"/>
          <w:szCs w:val="20"/>
        </w:rPr>
        <w:t>, reproducible search strategy, appropriate synthesis techniques such as meta-analysis)</w:t>
      </w:r>
    </w:p>
    <w:p w14:paraId="24EFDF2E" w14:textId="77777777" w:rsidR="00D81755" w:rsidRDefault="0073296A">
      <w:pPr>
        <w:numPr>
          <w:ilvl w:val="0"/>
          <w:numId w:val="18"/>
        </w:numPr>
        <w:pBdr>
          <w:top w:val="nil"/>
          <w:left w:val="nil"/>
          <w:bottom w:val="nil"/>
          <w:right w:val="nil"/>
          <w:between w:val="nil"/>
        </w:pBdr>
        <w:rPr>
          <w:sz w:val="20"/>
          <w:szCs w:val="20"/>
        </w:rPr>
      </w:pPr>
      <w:r>
        <w:rPr>
          <w:color w:val="000000"/>
          <w:sz w:val="20"/>
          <w:szCs w:val="20"/>
        </w:rPr>
        <w:t>Insightful discussion of findings in the context of existing literature</w:t>
      </w:r>
    </w:p>
    <w:p w14:paraId="24EFDF2F" w14:textId="77777777" w:rsidR="00D81755" w:rsidRDefault="0073296A">
      <w:pPr>
        <w:numPr>
          <w:ilvl w:val="0"/>
          <w:numId w:val="18"/>
        </w:numPr>
        <w:pBdr>
          <w:top w:val="nil"/>
          <w:left w:val="nil"/>
          <w:bottom w:val="nil"/>
          <w:right w:val="nil"/>
          <w:between w:val="nil"/>
        </w:pBdr>
        <w:rPr>
          <w:sz w:val="20"/>
          <w:szCs w:val="20"/>
        </w:rPr>
      </w:pPr>
      <w:r>
        <w:rPr>
          <w:color w:val="000000"/>
          <w:sz w:val="20"/>
          <w:szCs w:val="20"/>
        </w:rPr>
        <w:t>Clear articulation of strengths, limitations, and potential biases</w:t>
      </w:r>
    </w:p>
    <w:p w14:paraId="24EFDF30" w14:textId="77777777" w:rsidR="00D81755" w:rsidRDefault="0073296A">
      <w:pPr>
        <w:numPr>
          <w:ilvl w:val="0"/>
          <w:numId w:val="18"/>
        </w:numPr>
        <w:pBdr>
          <w:top w:val="nil"/>
          <w:left w:val="nil"/>
          <w:bottom w:val="nil"/>
          <w:right w:val="nil"/>
          <w:between w:val="nil"/>
        </w:pBdr>
        <w:rPr>
          <w:sz w:val="20"/>
          <w:szCs w:val="20"/>
        </w:rPr>
      </w:pPr>
      <w:r>
        <w:rPr>
          <w:color w:val="000000"/>
          <w:sz w:val="20"/>
          <w:szCs w:val="20"/>
        </w:rPr>
        <w:t>Compelling reflection on implications for future research, policy, and practice</w:t>
      </w:r>
    </w:p>
    <w:p w14:paraId="24EFDF31" w14:textId="77777777" w:rsidR="00D81755" w:rsidRDefault="0073296A">
      <w:pPr>
        <w:numPr>
          <w:ilvl w:val="0"/>
          <w:numId w:val="18"/>
        </w:numPr>
        <w:pBdr>
          <w:top w:val="nil"/>
          <w:left w:val="nil"/>
          <w:bottom w:val="nil"/>
          <w:right w:val="nil"/>
          <w:between w:val="nil"/>
        </w:pBdr>
        <w:spacing w:after="160"/>
        <w:rPr>
          <w:sz w:val="20"/>
          <w:szCs w:val="20"/>
        </w:rPr>
      </w:pPr>
      <w:r>
        <w:rPr>
          <w:color w:val="000000"/>
          <w:sz w:val="20"/>
          <w:szCs w:val="20"/>
        </w:rPr>
        <w:t>Reviewer consensus that the work contributes meaningfully to the field</w:t>
      </w:r>
    </w:p>
    <w:p w14:paraId="24EFDF32" w14:textId="77777777" w:rsidR="00D81755" w:rsidRDefault="0073296A">
      <w:pPr>
        <w:rPr>
          <w:sz w:val="20"/>
          <w:szCs w:val="20"/>
        </w:rPr>
      </w:pPr>
      <w:r>
        <w:rPr>
          <w:sz w:val="20"/>
          <w:szCs w:val="20"/>
        </w:rPr>
        <w:t xml:space="preserve">HPD 620 is taken in the third semester (i.e., fall of their second year); students will use the January winter term to work on this milestone and continue their progress in the spring. Specifically, students will submit a topic (brief description, including explanation of novelty, plus annotated bibliography) to their Dissertation Advisor by the end of January. Students must receive approval from the Advisor before proceeding further and submit the signed </w:t>
      </w:r>
      <w:r>
        <w:rPr>
          <w:i/>
          <w:iCs/>
          <w:sz w:val="20"/>
          <w:szCs w:val="20"/>
        </w:rPr>
        <w:t>Application for Preliminary Exam</w:t>
      </w:r>
      <w:r>
        <w:rPr>
          <w:sz w:val="20"/>
          <w:szCs w:val="20"/>
        </w:rPr>
        <w:t xml:space="preserve">. We encourage students to register any review protocols at this point </w:t>
      </w:r>
      <w:proofErr w:type="gramStart"/>
      <w:r>
        <w:rPr>
          <w:sz w:val="20"/>
          <w:szCs w:val="20"/>
        </w:rPr>
        <w:t>in order to</w:t>
      </w:r>
      <w:proofErr w:type="gramEnd"/>
      <w:r>
        <w:rPr>
          <w:sz w:val="20"/>
          <w:szCs w:val="20"/>
        </w:rPr>
        <w:t xml:space="preserve"> facilitate potential publication of the final paper. AI use is not permitted. </w:t>
      </w:r>
    </w:p>
    <w:p w14:paraId="24EFDF33" w14:textId="77777777" w:rsidR="00D81755" w:rsidRDefault="00D81755">
      <w:pPr>
        <w:rPr>
          <w:sz w:val="20"/>
          <w:szCs w:val="20"/>
        </w:rPr>
      </w:pPr>
    </w:p>
    <w:p w14:paraId="24EFDF34" w14:textId="77777777" w:rsidR="00D81755" w:rsidRDefault="0073296A">
      <w:pPr>
        <w:rPr>
          <w:sz w:val="20"/>
          <w:szCs w:val="20"/>
        </w:rPr>
      </w:pPr>
      <w:r>
        <w:rPr>
          <w:sz w:val="20"/>
          <w:szCs w:val="20"/>
        </w:rPr>
        <w:t xml:space="preserve">Students have the spring semester to complete the exam. The final written exam is due four weeks after the last day of their fourth semester (i.e., the spring semester of their second year). Failure to meet this deadline will result in a probationary period of six months at minimum; failure to submit may also result in removal from the program. Extensions may be granted only in extenuating </w:t>
      </w:r>
      <w:proofErr w:type="gramStart"/>
      <w:r>
        <w:rPr>
          <w:sz w:val="20"/>
          <w:szCs w:val="20"/>
        </w:rPr>
        <w:t>circumstances, and</w:t>
      </w:r>
      <w:proofErr w:type="gramEnd"/>
      <w:r>
        <w:rPr>
          <w:sz w:val="20"/>
          <w:szCs w:val="20"/>
        </w:rPr>
        <w:t xml:space="preserve"> </w:t>
      </w:r>
      <w:proofErr w:type="gramStart"/>
      <w:r>
        <w:rPr>
          <w:sz w:val="20"/>
          <w:szCs w:val="20"/>
        </w:rPr>
        <w:t>requires</w:t>
      </w:r>
      <w:proofErr w:type="gramEnd"/>
      <w:r>
        <w:rPr>
          <w:sz w:val="20"/>
          <w:szCs w:val="20"/>
        </w:rPr>
        <w:t xml:space="preserve"> approval by the Dissertation Advisor and Program Director.  Requests must be accompanied by a justification and a proposed submission date. </w:t>
      </w:r>
    </w:p>
    <w:p w14:paraId="24EFDF35" w14:textId="77777777" w:rsidR="00D81755" w:rsidRDefault="00D81755">
      <w:pPr>
        <w:rPr>
          <w:sz w:val="20"/>
          <w:szCs w:val="20"/>
        </w:rPr>
      </w:pPr>
    </w:p>
    <w:p w14:paraId="24EFDF36" w14:textId="77777777" w:rsidR="00D81755" w:rsidRDefault="0073296A">
      <w:pPr>
        <w:rPr>
          <w:sz w:val="20"/>
          <w:szCs w:val="20"/>
        </w:rPr>
      </w:pPr>
      <w:r>
        <w:rPr>
          <w:sz w:val="20"/>
          <w:szCs w:val="20"/>
        </w:rPr>
        <w:t xml:space="preserve">A preliminary exam committee will be appointed by the Program Director. Once submitted, the committee will read and comment on all papers submitted that term, and the committee chair will communicate the decision to the </w:t>
      </w:r>
      <w:proofErr w:type="gramStart"/>
      <w:r>
        <w:rPr>
          <w:sz w:val="20"/>
          <w:szCs w:val="20"/>
        </w:rPr>
        <w:t>student</w:t>
      </w:r>
      <w:proofErr w:type="gramEnd"/>
      <w:r>
        <w:rPr>
          <w:sz w:val="20"/>
          <w:szCs w:val="20"/>
        </w:rPr>
        <w:t xml:space="preserve"> (pass, revisions required, fail). All papers will be read by three committee members. This will occur within two weeks. The committee might or might not meet as a group. There are four possible outcomes:</w:t>
      </w:r>
    </w:p>
    <w:p w14:paraId="24EFDF37" w14:textId="77777777" w:rsidR="00D81755" w:rsidRDefault="00D81755">
      <w:pPr>
        <w:rPr>
          <w:sz w:val="20"/>
          <w:szCs w:val="20"/>
        </w:rPr>
      </w:pPr>
    </w:p>
    <w:p w14:paraId="24EFDF38" w14:textId="77777777" w:rsidR="00D81755" w:rsidRDefault="0073296A">
      <w:pPr>
        <w:rPr>
          <w:sz w:val="20"/>
          <w:szCs w:val="20"/>
        </w:rPr>
      </w:pPr>
      <w:r>
        <w:rPr>
          <w:sz w:val="20"/>
          <w:szCs w:val="20"/>
        </w:rPr>
        <w:t>Pass with distinction: This outcome is reserved for truly exceptional written exams. The honor is reserved for those papers that demonstrate outstanding mastery of the subject matter and methods, reflect critical thinking, lead to new insights, and are likely to be published in a high impact journal. The student progresses to candidacy, provided all core coursework is completed. The Dean of the Graduate School confers this status upon recommendation from the Doctoral Program Director. Students must advance at least one year prior to the dissertation defense. We strongly encourage students to submit their paper for publication.</w:t>
      </w:r>
    </w:p>
    <w:p w14:paraId="24EFDF39" w14:textId="77777777" w:rsidR="00D81755" w:rsidRDefault="00D81755">
      <w:pPr>
        <w:rPr>
          <w:sz w:val="20"/>
          <w:szCs w:val="20"/>
        </w:rPr>
      </w:pPr>
    </w:p>
    <w:p w14:paraId="24EFDF3A" w14:textId="77777777" w:rsidR="00D81755" w:rsidRDefault="0073296A">
      <w:pPr>
        <w:rPr>
          <w:sz w:val="20"/>
          <w:szCs w:val="20"/>
        </w:rPr>
      </w:pPr>
      <w:r>
        <w:rPr>
          <w:sz w:val="20"/>
          <w:szCs w:val="20"/>
        </w:rPr>
        <w:t xml:space="preserve">Pass: The student progresses to candidacy, provided all core coursework is completed. The Dean of the Graduate School confers this status upon recommendation from the Doctoral Program Director. Students must advance at least one year prior to the dissertation defense. We strongly encourage students to submit their paper for publication. </w:t>
      </w:r>
    </w:p>
    <w:p w14:paraId="24EFDF3B" w14:textId="77777777" w:rsidR="00D81755" w:rsidRDefault="00D81755">
      <w:pPr>
        <w:rPr>
          <w:sz w:val="20"/>
          <w:szCs w:val="20"/>
        </w:rPr>
      </w:pPr>
    </w:p>
    <w:p w14:paraId="24EFDF3C" w14:textId="77777777" w:rsidR="00D81755" w:rsidRDefault="0073296A">
      <w:pPr>
        <w:rPr>
          <w:sz w:val="20"/>
          <w:szCs w:val="20"/>
        </w:rPr>
      </w:pPr>
      <w:r>
        <w:rPr>
          <w:sz w:val="20"/>
          <w:szCs w:val="20"/>
        </w:rPr>
        <w:t xml:space="preserve">Revision: Any of the reviewers can request revisions, with written comments provided to the student. The student will have an opportunity to revise the paper; this must be submitted with an accompanying letter detailing the changes made. Students will have one month to make revisions and </w:t>
      </w:r>
      <w:proofErr w:type="gramStart"/>
      <w:r>
        <w:rPr>
          <w:sz w:val="20"/>
          <w:szCs w:val="20"/>
        </w:rPr>
        <w:t>resubmit</w:t>
      </w:r>
      <w:proofErr w:type="gramEnd"/>
      <w:r>
        <w:rPr>
          <w:sz w:val="20"/>
          <w:szCs w:val="20"/>
        </w:rPr>
        <w:t>. At this point, the outcome is either pass or fail.</w:t>
      </w:r>
    </w:p>
    <w:p w14:paraId="24EFDF3D" w14:textId="77777777" w:rsidR="00D81755" w:rsidRDefault="00D81755">
      <w:pPr>
        <w:rPr>
          <w:sz w:val="20"/>
          <w:szCs w:val="20"/>
        </w:rPr>
      </w:pPr>
    </w:p>
    <w:p w14:paraId="24EFDF3E" w14:textId="77777777" w:rsidR="00D81755" w:rsidRDefault="0073296A">
      <w:pPr>
        <w:rPr>
          <w:sz w:val="20"/>
          <w:szCs w:val="20"/>
        </w:rPr>
      </w:pPr>
      <w:r>
        <w:rPr>
          <w:sz w:val="20"/>
          <w:szCs w:val="20"/>
        </w:rPr>
        <w:t xml:space="preserve">Fail – A student fails if two members of the review committee votes for failure or if the student does not complete the revision by the assigned due date. Failure of the Written Examination may result in withdrawal of the student from the program. Alternatively, the committee may allow the student to try again in one calendar year. Failing twice is automatically considered unsatisfactory </w:t>
      </w:r>
      <w:proofErr w:type="gramStart"/>
      <w:r>
        <w:rPr>
          <w:sz w:val="20"/>
          <w:szCs w:val="20"/>
        </w:rPr>
        <w:t>progress</w:t>
      </w:r>
      <w:proofErr w:type="gramEnd"/>
      <w:r>
        <w:rPr>
          <w:sz w:val="20"/>
          <w:szCs w:val="20"/>
        </w:rPr>
        <w:t xml:space="preserve"> and the student must exit from the program.</w:t>
      </w:r>
    </w:p>
    <w:p w14:paraId="24EFDF3F" w14:textId="77777777" w:rsidR="00D81755" w:rsidRDefault="00D81755">
      <w:pPr>
        <w:rPr>
          <w:sz w:val="20"/>
          <w:szCs w:val="20"/>
        </w:rPr>
      </w:pPr>
    </w:p>
    <w:p w14:paraId="24EFDF40" w14:textId="77777777" w:rsidR="00D81755" w:rsidRDefault="0073296A">
      <w:pPr>
        <w:rPr>
          <w:sz w:val="20"/>
          <w:szCs w:val="20"/>
        </w:rPr>
      </w:pPr>
      <w:bookmarkStart w:id="52" w:name="_heading=h.y3mfebrtfknw" w:colFirst="0" w:colLast="0"/>
      <w:bookmarkEnd w:id="52"/>
      <w:r>
        <w:rPr>
          <w:b/>
          <w:bCs/>
          <w:sz w:val="20"/>
          <w:szCs w:val="20"/>
        </w:rPr>
        <w:t xml:space="preserve">6. Dissertation Proposal Defense </w:t>
      </w:r>
    </w:p>
    <w:p w14:paraId="24EFDF41" w14:textId="77777777" w:rsidR="00D81755" w:rsidRDefault="0073296A">
      <w:pPr>
        <w:rPr>
          <w:sz w:val="20"/>
          <w:szCs w:val="20"/>
        </w:rPr>
      </w:pPr>
      <w:r>
        <w:rPr>
          <w:sz w:val="20"/>
          <w:szCs w:val="20"/>
        </w:rPr>
        <w:t>The dissertation proposal defense can be completed any time after the preliminary examination. Dissertation research is the core of the PhD program, demonstrating the student’s ability to conduct original, rigorous, and meaningful research that contributes to improved population health and/or clinical outcomes. Students should select a topic that is aligned with their interests, draws on faculty expertise, and is within the scope of any funding agreement.</w:t>
      </w:r>
    </w:p>
    <w:p w14:paraId="24EFDF42" w14:textId="77777777" w:rsidR="00D81755" w:rsidRDefault="00D81755">
      <w:pPr>
        <w:rPr>
          <w:sz w:val="20"/>
          <w:szCs w:val="20"/>
        </w:rPr>
      </w:pPr>
    </w:p>
    <w:p w14:paraId="24EFDF43" w14:textId="77777777" w:rsidR="00D81755" w:rsidRDefault="0073296A">
      <w:pPr>
        <w:rPr>
          <w:sz w:val="20"/>
          <w:szCs w:val="20"/>
        </w:rPr>
      </w:pPr>
      <w:r>
        <w:rPr>
          <w:sz w:val="20"/>
          <w:szCs w:val="20"/>
        </w:rPr>
        <w:t>Preliminary research to develop a dissertation topic will normally begin in the second year of study and the beginning of the third year will be mainly devoted to developing and refining the doctoral research, culminating in a successful proposal defense. The expectation is that proposal defense should be completed by the end of the third year. Insufficient progress without justification can lead to formal departmental warnings, academic probation, or dismissal from the doctoral program.</w:t>
      </w:r>
    </w:p>
    <w:p w14:paraId="24EFDF44" w14:textId="77777777" w:rsidR="00D81755" w:rsidRDefault="00D81755">
      <w:pPr>
        <w:rPr>
          <w:sz w:val="20"/>
          <w:szCs w:val="20"/>
        </w:rPr>
      </w:pPr>
    </w:p>
    <w:p w14:paraId="24EFDF45" w14:textId="77777777" w:rsidR="00D81755" w:rsidRDefault="00D81755">
      <w:pPr>
        <w:rPr>
          <w:sz w:val="20"/>
          <w:szCs w:val="20"/>
        </w:rPr>
      </w:pPr>
    </w:p>
    <w:p w14:paraId="24EFDF46" w14:textId="77777777" w:rsidR="00D81755" w:rsidRDefault="0073296A">
      <w:pPr>
        <w:rPr>
          <w:sz w:val="20"/>
          <w:szCs w:val="20"/>
        </w:rPr>
      </w:pPr>
      <w:r>
        <w:rPr>
          <w:sz w:val="20"/>
          <w:szCs w:val="20"/>
        </w:rPr>
        <w:t xml:space="preserve">The topic should be broad enough to allow for the preparation of at least three publishable papers in peer-reviewed journals. This milestone is typically completed in three steps: 1) Approval of specific aims; 2) Submission of a written proposal; 3) Oral examination. </w:t>
      </w:r>
    </w:p>
    <w:p w14:paraId="24EFDF47" w14:textId="77777777" w:rsidR="00D81755" w:rsidRDefault="00D81755">
      <w:pPr>
        <w:rPr>
          <w:b/>
          <w:bCs/>
          <w:sz w:val="20"/>
          <w:szCs w:val="20"/>
        </w:rPr>
      </w:pPr>
    </w:p>
    <w:p w14:paraId="24EFDF48" w14:textId="77777777" w:rsidR="00D81755" w:rsidRDefault="0073296A">
      <w:pPr>
        <w:rPr>
          <w:sz w:val="20"/>
          <w:szCs w:val="20"/>
        </w:rPr>
      </w:pPr>
      <w:r>
        <w:rPr>
          <w:b/>
          <w:bCs/>
          <w:sz w:val="20"/>
          <w:szCs w:val="20"/>
        </w:rPr>
        <w:t>Specific Aims</w:t>
      </w:r>
      <w:r>
        <w:rPr>
          <w:sz w:val="20"/>
          <w:szCs w:val="20"/>
        </w:rPr>
        <w:t xml:space="preserve">: Students will develop specific aims with guidance from their Dissertation Advisor. Students will submit a single page </w:t>
      </w:r>
      <w:proofErr w:type="gramStart"/>
      <w:r>
        <w:rPr>
          <w:sz w:val="20"/>
          <w:szCs w:val="20"/>
        </w:rPr>
        <w:t>specific aims</w:t>
      </w:r>
      <w:proofErr w:type="gramEnd"/>
      <w:r>
        <w:rPr>
          <w:sz w:val="20"/>
          <w:szCs w:val="20"/>
        </w:rPr>
        <w:t xml:space="preserve">. This should have at least three research questions to be investigated, the justification for undertaking these studies, and a very brief explanation of the methodological approach and data to be used. Specific Aims must be approved by the Dissertation Advisor and then circulated for approval by all members of the Dissertation Committee. Aims may be developed and submitted concurrently with the Preliminary Written Examination. </w:t>
      </w:r>
    </w:p>
    <w:p w14:paraId="24EFDF49" w14:textId="77777777" w:rsidR="00D81755" w:rsidRDefault="00D81755">
      <w:pPr>
        <w:rPr>
          <w:b/>
          <w:bCs/>
          <w:sz w:val="20"/>
          <w:szCs w:val="20"/>
        </w:rPr>
      </w:pPr>
    </w:p>
    <w:p w14:paraId="24EFDF4A" w14:textId="77777777" w:rsidR="00D81755" w:rsidRDefault="0073296A">
      <w:pPr>
        <w:rPr>
          <w:sz w:val="20"/>
          <w:szCs w:val="20"/>
        </w:rPr>
      </w:pPr>
      <w:r>
        <w:rPr>
          <w:b/>
          <w:bCs/>
          <w:sz w:val="20"/>
          <w:szCs w:val="20"/>
        </w:rPr>
        <w:t>Written Proposal</w:t>
      </w:r>
      <w:r>
        <w:rPr>
          <w:sz w:val="20"/>
          <w:szCs w:val="20"/>
        </w:rPr>
        <w:t xml:space="preserve">: The proposal will synthesize the literature on an important topic in population health or clinical outcomes research, identify gaps in the literature that clearly demonstrate the importance for the student’s planned dissertation research, set forth at least three research questions contextualized in a conceptual framework as appropriate, and provide detailed methodology (e.g., sampling plans or data sources, variable coding, analytic approach). Any anticipated challenges should be addressed. </w:t>
      </w:r>
    </w:p>
    <w:p w14:paraId="24EFDF4B" w14:textId="77777777" w:rsidR="00D81755" w:rsidRDefault="00D81755">
      <w:pPr>
        <w:rPr>
          <w:sz w:val="20"/>
          <w:szCs w:val="20"/>
        </w:rPr>
      </w:pPr>
    </w:p>
    <w:p w14:paraId="24EFDF4C" w14:textId="77777777" w:rsidR="00D81755" w:rsidRDefault="0073296A">
      <w:pPr>
        <w:rPr>
          <w:sz w:val="20"/>
          <w:szCs w:val="20"/>
        </w:rPr>
      </w:pPr>
      <w:r>
        <w:rPr>
          <w:sz w:val="20"/>
          <w:szCs w:val="20"/>
        </w:rPr>
        <w:t xml:space="preserve">The written proposal should have a 1-page specific </w:t>
      </w:r>
      <w:proofErr w:type="gramStart"/>
      <w:r>
        <w:rPr>
          <w:sz w:val="20"/>
          <w:szCs w:val="20"/>
        </w:rPr>
        <w:t>aims</w:t>
      </w:r>
      <w:proofErr w:type="gramEnd"/>
      <w:r>
        <w:rPr>
          <w:sz w:val="20"/>
          <w:szCs w:val="20"/>
        </w:rPr>
        <w:t xml:space="preserve"> (single spaced); it is recommended the remaining text be no more than </w:t>
      </w:r>
      <w:proofErr w:type="gramStart"/>
      <w:r>
        <w:rPr>
          <w:sz w:val="20"/>
          <w:szCs w:val="20"/>
        </w:rPr>
        <w:t>6-12 page</w:t>
      </w:r>
      <w:proofErr w:type="gramEnd"/>
      <w:r>
        <w:rPr>
          <w:sz w:val="20"/>
          <w:szCs w:val="20"/>
        </w:rPr>
        <w:t xml:space="preserve"> (single spaced, 1-inch margins) proposal, excluding figures and references. It must be approved by the Dissertation Advisor. Students are responsible for coordinating the oral defense schedule. They must circulate the proposal to the Program Director and the Proposal Defense Committee at least 14 days before the oral defense. </w:t>
      </w:r>
    </w:p>
    <w:p w14:paraId="24EFDF4D" w14:textId="77777777" w:rsidR="00D81755" w:rsidRDefault="00D81755">
      <w:pPr>
        <w:rPr>
          <w:sz w:val="20"/>
          <w:szCs w:val="20"/>
        </w:rPr>
      </w:pPr>
    </w:p>
    <w:p w14:paraId="24EFDF4E" w14:textId="77777777" w:rsidR="00D81755" w:rsidRDefault="0073296A">
      <w:pPr>
        <w:rPr>
          <w:sz w:val="20"/>
          <w:szCs w:val="20"/>
        </w:rPr>
      </w:pPr>
      <w:r>
        <w:rPr>
          <w:sz w:val="20"/>
          <w:szCs w:val="20"/>
        </w:rPr>
        <w:t xml:space="preserve">The makeup of the Proposal Defense Committee includes the Dissertation Advisor, defense chairperson, a third member from PPH. In many cases, the Dissertation Committee will serve as the Proposal Defense Committee. To avoid conflicts of interest, however, the Dissertation Advisor may not serve as chair of the Proposal Defense Committee. All Proposal Defense Committee members must agree that the written proposal is adequate to warrant progression to the oral defense. </w:t>
      </w:r>
    </w:p>
    <w:p w14:paraId="24EFDF4F" w14:textId="77777777" w:rsidR="00D81755" w:rsidRDefault="00D81755">
      <w:pPr>
        <w:rPr>
          <w:b/>
          <w:bCs/>
          <w:sz w:val="20"/>
          <w:szCs w:val="20"/>
        </w:rPr>
      </w:pPr>
    </w:p>
    <w:p w14:paraId="24EFDF50" w14:textId="77777777" w:rsidR="00D81755" w:rsidRDefault="0073296A">
      <w:pPr>
        <w:rPr>
          <w:sz w:val="20"/>
          <w:szCs w:val="20"/>
        </w:rPr>
      </w:pPr>
      <w:r>
        <w:rPr>
          <w:b/>
          <w:bCs/>
          <w:sz w:val="20"/>
          <w:szCs w:val="20"/>
        </w:rPr>
        <w:t>In-Person Oral Examination</w:t>
      </w:r>
      <w:r>
        <w:rPr>
          <w:sz w:val="20"/>
          <w:szCs w:val="20"/>
        </w:rPr>
        <w:t>: The student will present the proposed research to the committee (typically 30 minutes); this is open to other faculty and students. The committee will then examine the student in private. There are three possible outcomes:</w:t>
      </w:r>
    </w:p>
    <w:p w14:paraId="24EFDF51" w14:textId="77777777" w:rsidR="00D81755" w:rsidRDefault="00D81755">
      <w:pPr>
        <w:rPr>
          <w:b/>
          <w:bCs/>
          <w:sz w:val="20"/>
          <w:szCs w:val="20"/>
        </w:rPr>
      </w:pPr>
    </w:p>
    <w:p w14:paraId="24EFDF52" w14:textId="77777777" w:rsidR="00D81755" w:rsidRDefault="0073296A">
      <w:pPr>
        <w:rPr>
          <w:sz w:val="20"/>
          <w:szCs w:val="20"/>
        </w:rPr>
      </w:pPr>
      <w:r>
        <w:rPr>
          <w:b/>
          <w:bCs/>
          <w:sz w:val="20"/>
          <w:szCs w:val="20"/>
        </w:rPr>
        <w:t>Pass</w:t>
      </w:r>
      <w:r>
        <w:rPr>
          <w:sz w:val="20"/>
          <w:szCs w:val="20"/>
        </w:rPr>
        <w:t xml:space="preserve">: The student progresses to dissertation research. </w:t>
      </w:r>
    </w:p>
    <w:p w14:paraId="24EFDF53" w14:textId="77777777" w:rsidR="00D81755" w:rsidRDefault="00D81755">
      <w:pPr>
        <w:rPr>
          <w:sz w:val="20"/>
          <w:szCs w:val="20"/>
        </w:rPr>
      </w:pPr>
    </w:p>
    <w:p w14:paraId="24EFDF54" w14:textId="77777777" w:rsidR="00D81755" w:rsidRDefault="0073296A">
      <w:pPr>
        <w:rPr>
          <w:sz w:val="20"/>
          <w:szCs w:val="20"/>
        </w:rPr>
      </w:pPr>
      <w:r>
        <w:rPr>
          <w:b/>
          <w:bCs/>
          <w:sz w:val="20"/>
          <w:szCs w:val="20"/>
        </w:rPr>
        <w:t>Revision</w:t>
      </w:r>
      <w:r>
        <w:rPr>
          <w:sz w:val="20"/>
          <w:szCs w:val="20"/>
        </w:rPr>
        <w:t xml:space="preserve">: Any member of the committee can request revisions, with written comments provided to the student. The </w:t>
      </w:r>
      <w:proofErr w:type="gramStart"/>
      <w:r>
        <w:rPr>
          <w:sz w:val="20"/>
          <w:szCs w:val="20"/>
        </w:rPr>
        <w:t>student</w:t>
      </w:r>
      <w:proofErr w:type="gramEnd"/>
      <w:r>
        <w:rPr>
          <w:sz w:val="20"/>
          <w:szCs w:val="20"/>
        </w:rPr>
        <w:t xml:space="preserve"> will have an opportunity to revise the proposal; this must be submitted with an accompanying letter detailing the changes made. The due date will be set when the revision is </w:t>
      </w:r>
      <w:proofErr w:type="gramStart"/>
      <w:r>
        <w:rPr>
          <w:sz w:val="20"/>
          <w:szCs w:val="20"/>
        </w:rPr>
        <w:t>requested, but</w:t>
      </w:r>
      <w:proofErr w:type="gramEnd"/>
      <w:r>
        <w:rPr>
          <w:sz w:val="20"/>
          <w:szCs w:val="20"/>
        </w:rPr>
        <w:t xml:space="preserve"> is typically about a month after written comments are delivered. </w:t>
      </w:r>
      <w:r>
        <w:rPr>
          <w:b/>
          <w:bCs/>
          <w:sz w:val="20"/>
          <w:szCs w:val="20"/>
        </w:rPr>
        <w:t>Only one revision is permitted.</w:t>
      </w:r>
    </w:p>
    <w:p w14:paraId="24EFDF55" w14:textId="77777777" w:rsidR="00D81755" w:rsidRDefault="00D81755">
      <w:pPr>
        <w:rPr>
          <w:b/>
          <w:bCs/>
          <w:sz w:val="20"/>
          <w:szCs w:val="20"/>
        </w:rPr>
      </w:pPr>
    </w:p>
    <w:p w14:paraId="24EFDF56" w14:textId="77777777" w:rsidR="00D81755" w:rsidRDefault="0073296A">
      <w:pPr>
        <w:rPr>
          <w:sz w:val="20"/>
          <w:szCs w:val="20"/>
        </w:rPr>
      </w:pPr>
      <w:proofErr w:type="gramStart"/>
      <w:r>
        <w:rPr>
          <w:b/>
          <w:bCs/>
          <w:sz w:val="20"/>
          <w:szCs w:val="20"/>
        </w:rPr>
        <w:t>Fail</w:t>
      </w:r>
      <w:proofErr w:type="gramEnd"/>
      <w:r>
        <w:rPr>
          <w:b/>
          <w:bCs/>
          <w:sz w:val="20"/>
          <w:szCs w:val="20"/>
        </w:rPr>
        <w:t>:</w:t>
      </w:r>
      <w:r>
        <w:rPr>
          <w:sz w:val="20"/>
          <w:szCs w:val="20"/>
        </w:rPr>
        <w:t xml:space="preserve"> A student fails when any member of the review committee votes for failure or if the student does not complete the revision by the assigned due date. Failure of the Written Examination may result in withdrawal of the student from the program. Failing twice is automatically considered unsatisfactory progress, and the student must exit from the program.</w:t>
      </w:r>
    </w:p>
    <w:p w14:paraId="24EFDF57" w14:textId="77777777" w:rsidR="00D81755" w:rsidRDefault="00D81755">
      <w:pPr>
        <w:rPr>
          <w:sz w:val="20"/>
          <w:szCs w:val="20"/>
        </w:rPr>
      </w:pPr>
    </w:p>
    <w:p w14:paraId="24EFDF58" w14:textId="77777777" w:rsidR="00D81755" w:rsidRDefault="0073296A">
      <w:pPr>
        <w:rPr>
          <w:sz w:val="20"/>
          <w:szCs w:val="20"/>
        </w:rPr>
      </w:pPr>
      <w:bookmarkStart w:id="53" w:name="_heading=h.u3xm92ahl4uj" w:colFirst="0" w:colLast="0"/>
      <w:bookmarkEnd w:id="53"/>
      <w:r>
        <w:rPr>
          <w:b/>
          <w:bCs/>
          <w:sz w:val="20"/>
          <w:szCs w:val="20"/>
        </w:rPr>
        <w:t xml:space="preserve">7. Dissertation Research </w:t>
      </w:r>
    </w:p>
    <w:p w14:paraId="24EFDF59" w14:textId="77777777" w:rsidR="00D81755" w:rsidRDefault="0073296A">
      <w:pPr>
        <w:rPr>
          <w:sz w:val="20"/>
          <w:szCs w:val="20"/>
        </w:rPr>
      </w:pPr>
      <w:r>
        <w:rPr>
          <w:sz w:val="20"/>
          <w:szCs w:val="20"/>
        </w:rPr>
        <w:t>During this period, students will implement their research study, collect (if applicable) and analyze data, and write publishable papers. As a reminder, all research involving human subjects must receive Institutional Review Board (IRB) approval. During this stage, students may also take elective courses to develop related knowledge areas and methodological skills. Students are expected to meet regularly with their Dissertation Advisor and update the Dissertation Committee on their progress.</w:t>
      </w:r>
    </w:p>
    <w:p w14:paraId="24EFDF5A" w14:textId="77777777" w:rsidR="00D81755" w:rsidRDefault="00D81755">
      <w:pPr>
        <w:rPr>
          <w:sz w:val="20"/>
          <w:szCs w:val="20"/>
        </w:rPr>
      </w:pPr>
    </w:p>
    <w:p w14:paraId="24EFDF5B" w14:textId="77777777" w:rsidR="00D81755" w:rsidRDefault="0073296A">
      <w:pPr>
        <w:rPr>
          <w:sz w:val="20"/>
          <w:szCs w:val="20"/>
        </w:rPr>
      </w:pPr>
      <w:r>
        <w:rPr>
          <w:sz w:val="20"/>
          <w:szCs w:val="20"/>
        </w:rPr>
        <w:t xml:space="preserve">Doctoral students are expected to demonstrate sustained engagement with their dissertation research and make timely progress toward degree completion. Expectations include responding to advisor and committee feedback in a professional manner, attending scheduled meetings, meeting agreed-upon milestones, and submitting drafts and other required materials within established timelines. Advisors will conduct annual milestone reviews to assess progress, discuss goals and timelines, identify barriers to completion, and clarify expectations. </w:t>
      </w:r>
    </w:p>
    <w:p w14:paraId="24EFDF5C" w14:textId="77777777" w:rsidR="00D81755" w:rsidRDefault="00D81755">
      <w:pPr>
        <w:rPr>
          <w:sz w:val="20"/>
          <w:szCs w:val="20"/>
        </w:rPr>
      </w:pPr>
    </w:p>
    <w:p w14:paraId="24EFDF5D" w14:textId="77777777" w:rsidR="00D81755" w:rsidRDefault="0073296A">
      <w:pPr>
        <w:rPr>
          <w:sz w:val="20"/>
          <w:szCs w:val="20"/>
        </w:rPr>
      </w:pPr>
      <w:r>
        <w:rPr>
          <w:sz w:val="20"/>
          <w:szCs w:val="20"/>
        </w:rPr>
        <w:t>Insufficient progress, as evidenced by annual reviews, failure to meet established milestones, lack of engagement with the advisor or committee, repeated missed deadlines, or other indicators of unsatisfactory advancement toward completion, may result in formal departmental intervention.</w:t>
      </w:r>
    </w:p>
    <w:p w14:paraId="24EFDF5E" w14:textId="77777777" w:rsidR="00D81755" w:rsidRDefault="00D81755">
      <w:pPr>
        <w:rPr>
          <w:sz w:val="20"/>
          <w:szCs w:val="20"/>
        </w:rPr>
      </w:pPr>
    </w:p>
    <w:p w14:paraId="24EFDF5F" w14:textId="77777777" w:rsidR="00D81755" w:rsidRDefault="0073296A">
      <w:pPr>
        <w:rPr>
          <w:sz w:val="20"/>
          <w:szCs w:val="20"/>
        </w:rPr>
      </w:pPr>
      <w:r>
        <w:rPr>
          <w:sz w:val="20"/>
          <w:szCs w:val="20"/>
        </w:rPr>
        <w:t xml:space="preserve">When concerns arise, the student will ordinarily be provided with written feedback and an opportunity to address deficiencies through a remediation plan that specifies expectations, timelines, and criteria for satisfactory progress. Failure to meet the requirements of the </w:t>
      </w:r>
      <w:r>
        <w:rPr>
          <w:sz w:val="20"/>
          <w:szCs w:val="20"/>
        </w:rPr>
        <w:lastRenderedPageBreak/>
        <w:t>remediation plan, or continued lack of satisfactory progress, may result in departmental warnings, academic probation, or dismissal from the doctoral program.</w:t>
      </w:r>
    </w:p>
    <w:p w14:paraId="24EFDF60" w14:textId="77777777" w:rsidR="00D81755" w:rsidRDefault="00D81755">
      <w:pPr>
        <w:rPr>
          <w:sz w:val="20"/>
          <w:szCs w:val="20"/>
        </w:rPr>
      </w:pPr>
    </w:p>
    <w:p w14:paraId="24EFDF61" w14:textId="77777777" w:rsidR="00D81755" w:rsidRDefault="0073296A">
      <w:pPr>
        <w:rPr>
          <w:sz w:val="20"/>
          <w:szCs w:val="20"/>
        </w:rPr>
      </w:pPr>
      <w:bookmarkStart w:id="54" w:name="_heading=h.43i5uf67fh8u" w:colFirst="0" w:colLast="0"/>
      <w:bookmarkEnd w:id="54"/>
      <w:r>
        <w:rPr>
          <w:b/>
          <w:bCs/>
          <w:sz w:val="20"/>
          <w:szCs w:val="20"/>
        </w:rPr>
        <w:t xml:space="preserve">8. Dissertation Defense </w:t>
      </w:r>
    </w:p>
    <w:p w14:paraId="24EFDF62" w14:textId="77777777" w:rsidR="00D81755" w:rsidRDefault="0073296A">
      <w:pPr>
        <w:rPr>
          <w:sz w:val="20"/>
          <w:szCs w:val="20"/>
        </w:rPr>
      </w:pPr>
      <w:r>
        <w:rPr>
          <w:sz w:val="20"/>
          <w:szCs w:val="20"/>
        </w:rPr>
        <w:t xml:space="preserve">The most important requirement for the Ph.D. degree is the dissertation, which must be an original scholarly investigation that meets the standards in the field for scholarly publications. This milestone is completed in two steps: 1) Submission of a written dissertation and 2) Oral defense. </w:t>
      </w:r>
    </w:p>
    <w:p w14:paraId="24EFDF63" w14:textId="77777777" w:rsidR="00D81755" w:rsidRDefault="00D81755">
      <w:pPr>
        <w:rPr>
          <w:sz w:val="20"/>
          <w:szCs w:val="20"/>
        </w:rPr>
      </w:pPr>
    </w:p>
    <w:p w14:paraId="24EFDF64" w14:textId="77777777" w:rsidR="00D81755" w:rsidRDefault="0073296A">
      <w:pPr>
        <w:rPr>
          <w:sz w:val="20"/>
          <w:szCs w:val="20"/>
        </w:rPr>
      </w:pPr>
      <w:r>
        <w:rPr>
          <w:b/>
          <w:bCs/>
          <w:sz w:val="20"/>
          <w:szCs w:val="20"/>
        </w:rPr>
        <w:t>Written Dissertation</w:t>
      </w:r>
      <w:r>
        <w:rPr>
          <w:sz w:val="20"/>
          <w:szCs w:val="20"/>
        </w:rPr>
        <w:t xml:space="preserve">: The written dissertation should be in manuscript-based format and take the following form: an executive summary, an introduction, three publishable (or published) analytic or theoretical manuscripts, and a conclusion. There is required no page limit, but most dissertations are approximately 125-150 pages.  The comprehensive examination paper is not eligible to be included as a dissertation manuscript, though it may form part of the introduction. It must be approved by the Dissertation Advisor before progressing to the next step.  </w:t>
      </w:r>
    </w:p>
    <w:p w14:paraId="24EFDF65" w14:textId="77777777" w:rsidR="00D81755" w:rsidRDefault="00D81755">
      <w:pPr>
        <w:rPr>
          <w:sz w:val="20"/>
          <w:szCs w:val="20"/>
        </w:rPr>
      </w:pPr>
    </w:p>
    <w:p w14:paraId="24EFDF66" w14:textId="2282B39F" w:rsidR="00D81755" w:rsidRDefault="0073296A">
      <w:pPr>
        <w:rPr>
          <w:sz w:val="20"/>
          <w:szCs w:val="20"/>
        </w:rPr>
      </w:pPr>
      <w:r>
        <w:rPr>
          <w:sz w:val="20"/>
          <w:szCs w:val="20"/>
        </w:rPr>
        <w:t xml:space="preserve">The makeup of the Dissertation Defense Committee must include a defense chairperson from PPH, the Dissertation Advisor(s) (at least one who is internal to the student’s degree program), at least one person outside of the program or University, and one additional member. Thus, the committee will have at least four members; it will have at least five members when there is a PPH dissertation advisor and clinical co-advisor. In many cases, the Dissertation Committee will also be members of the Proposal Defense Committee. To avoid conflicts of interest, however, the dissertation advisor may not serve as the chair of the Dissertation Committee. Moreover, the outside examiner cannot be a current or intended future co-author with the student. Thus, the outside examiner cannot be a member of the Dissertation Committee. As the defense must be in-person (with exceptions occasionally granted for an individual committee member), we strongly suggest that the student begin </w:t>
      </w:r>
      <w:r w:rsidR="000C1107">
        <w:rPr>
          <w:sz w:val="20"/>
          <w:szCs w:val="20"/>
        </w:rPr>
        <w:t>scheduling</w:t>
      </w:r>
      <w:r>
        <w:rPr>
          <w:sz w:val="20"/>
          <w:szCs w:val="20"/>
        </w:rPr>
        <w:t xml:space="preserve"> as soon as possible.</w:t>
      </w:r>
    </w:p>
    <w:p w14:paraId="24EFDF67" w14:textId="77777777" w:rsidR="00D81755" w:rsidRDefault="00D81755">
      <w:pPr>
        <w:rPr>
          <w:sz w:val="20"/>
          <w:szCs w:val="20"/>
        </w:rPr>
      </w:pPr>
    </w:p>
    <w:p w14:paraId="24EFDF68" w14:textId="77777777" w:rsidR="00D81755" w:rsidRDefault="0073296A">
      <w:pPr>
        <w:rPr>
          <w:sz w:val="20"/>
          <w:szCs w:val="20"/>
        </w:rPr>
      </w:pPr>
      <w:r>
        <w:rPr>
          <w:sz w:val="20"/>
          <w:szCs w:val="20"/>
        </w:rPr>
        <w:t>The student is responsible for submitting the names of the Proposal Defense Committee to the Program Director, and for scheduling the defense. They are also responsible for circulating the dissertation to the Program Director and Dissertation Defense Committee at least 30 days before the oral defense. A majority of Proposal Defense Committee members must agree that the written dissertation report is adequate to warrant progression to the oral defense. The program will be responsible for submitting the defense announcement to the University.</w:t>
      </w:r>
    </w:p>
    <w:p w14:paraId="24EFDF69" w14:textId="77777777" w:rsidR="00D81755" w:rsidRDefault="00D81755">
      <w:pPr>
        <w:rPr>
          <w:sz w:val="20"/>
          <w:szCs w:val="20"/>
        </w:rPr>
      </w:pPr>
    </w:p>
    <w:p w14:paraId="24EFDF6A" w14:textId="377D00C6" w:rsidR="00D81755" w:rsidRDefault="0073296A">
      <w:pPr>
        <w:rPr>
          <w:sz w:val="20"/>
          <w:szCs w:val="20"/>
        </w:rPr>
      </w:pPr>
      <w:r>
        <w:rPr>
          <w:b/>
          <w:bCs/>
          <w:sz w:val="20"/>
          <w:szCs w:val="20"/>
        </w:rPr>
        <w:t>Oral Examination</w:t>
      </w:r>
      <w:r>
        <w:rPr>
          <w:sz w:val="20"/>
          <w:szCs w:val="20"/>
        </w:rPr>
        <w:t xml:space="preserve">: Students must be advanced to candidacy for one academic year and may defend their dissertation during their second semester of advancement. An academic year is defined as the Fall and Spring semesters, in either order, that immediately </w:t>
      </w:r>
      <w:r w:rsidR="000C1107">
        <w:rPr>
          <w:sz w:val="20"/>
          <w:szCs w:val="20"/>
        </w:rPr>
        <w:t>precedes</w:t>
      </w:r>
      <w:r>
        <w:rPr>
          <w:sz w:val="20"/>
          <w:szCs w:val="20"/>
        </w:rPr>
        <w:t xml:space="preserve"> the semester of defense (see </w:t>
      </w:r>
      <w:hyperlink r:id="rId45">
        <w:r>
          <w:rPr>
            <w:color w:val="0000FF"/>
            <w:sz w:val="20"/>
            <w:szCs w:val="20"/>
            <w:u w:val="single"/>
          </w:rPr>
          <w:t>Advancement and Degree Candidacy in the Graduate Catalog</w:t>
        </w:r>
      </w:hyperlink>
      <w:r>
        <w:rPr>
          <w:sz w:val="20"/>
          <w:szCs w:val="20"/>
        </w:rPr>
        <w:t xml:space="preserve">). The oral examination is open to the public. All dissertation defenses must take place on campus. The examine will be as follows: public presentation (approx. 45 minutes): the candidate presents their research question, theoretical framework, methods, findings, and contributions; public question period (approx. 15 minutes); private examination period (approx. 30-60 minutes): the committee will ask questions about the research design, interpretation of results, implications, and limitations; closed deliberation: the committee meets privately to discuss the candidate’s performance and render a decision. </w:t>
      </w:r>
    </w:p>
    <w:p w14:paraId="24EFDF6B" w14:textId="77777777" w:rsidR="00D81755" w:rsidRDefault="0073296A">
      <w:pPr>
        <w:rPr>
          <w:sz w:val="20"/>
          <w:szCs w:val="20"/>
        </w:rPr>
      </w:pPr>
      <w:r>
        <w:rPr>
          <w:sz w:val="20"/>
          <w:szCs w:val="20"/>
        </w:rPr>
        <w:t>The committee will be assessing the student’s mastery of the subject area, ability to conduct original research, capacity to defend methodological choices, and ability to interpret and synthesize findings within the broader scope of the field. There are four possible outcomes:</w:t>
      </w:r>
    </w:p>
    <w:p w14:paraId="24EFDF6C" w14:textId="77777777" w:rsidR="00D81755" w:rsidRDefault="00D81755">
      <w:pPr>
        <w:rPr>
          <w:sz w:val="20"/>
          <w:szCs w:val="20"/>
        </w:rPr>
      </w:pPr>
    </w:p>
    <w:p w14:paraId="24EFDF6D" w14:textId="550B7ED5" w:rsidR="00D81755" w:rsidRDefault="0073296A">
      <w:pPr>
        <w:rPr>
          <w:sz w:val="20"/>
          <w:szCs w:val="20"/>
        </w:rPr>
      </w:pPr>
      <w:r>
        <w:rPr>
          <w:b/>
          <w:bCs/>
          <w:sz w:val="20"/>
          <w:szCs w:val="20"/>
        </w:rPr>
        <w:t>Pass without Revisions</w:t>
      </w:r>
      <w:r>
        <w:rPr>
          <w:sz w:val="20"/>
          <w:szCs w:val="20"/>
        </w:rPr>
        <w:t xml:space="preserve">: Upon unanimous committee approval, the student is granted a successful dissertation defense status. No additional revisions are required. The student must then submit the final dissertation to the Graduate School within three months and complete forms for graduation. The </w:t>
      </w:r>
      <w:r w:rsidR="00C31D40">
        <w:rPr>
          <w:sz w:val="20"/>
          <w:szCs w:val="20"/>
        </w:rPr>
        <w:t>semester where</w:t>
      </w:r>
      <w:r>
        <w:rPr>
          <w:sz w:val="20"/>
          <w:szCs w:val="20"/>
        </w:rPr>
        <w:t xml:space="preserve"> the student submits the dissertation will be the semester that the degree will be awarded.  See </w:t>
      </w:r>
      <w:hyperlink r:id="rId46">
        <w:r>
          <w:rPr>
            <w:color w:val="1155CC"/>
            <w:sz w:val="20"/>
            <w:szCs w:val="20"/>
            <w:u w:val="single"/>
          </w:rPr>
          <w:t xml:space="preserve">Dissertation and Submission Guidelines </w:t>
        </w:r>
      </w:hyperlink>
      <w:r>
        <w:rPr>
          <w:sz w:val="20"/>
          <w:szCs w:val="20"/>
        </w:rPr>
        <w:t xml:space="preserve">through </w:t>
      </w:r>
      <w:proofErr w:type="gramStart"/>
      <w:r>
        <w:rPr>
          <w:sz w:val="20"/>
          <w:szCs w:val="20"/>
        </w:rPr>
        <w:t>the Graduate</w:t>
      </w:r>
      <w:proofErr w:type="gramEnd"/>
      <w:r>
        <w:rPr>
          <w:sz w:val="20"/>
          <w:szCs w:val="20"/>
        </w:rPr>
        <w:t xml:space="preserve"> School. </w:t>
      </w:r>
    </w:p>
    <w:p w14:paraId="24EFDF6E" w14:textId="77777777" w:rsidR="00D81755" w:rsidRDefault="00D81755">
      <w:pPr>
        <w:rPr>
          <w:sz w:val="20"/>
          <w:szCs w:val="20"/>
        </w:rPr>
      </w:pPr>
    </w:p>
    <w:p w14:paraId="24EFDF6F" w14:textId="4265DCB7" w:rsidR="00D81755" w:rsidRDefault="0073296A">
      <w:pPr>
        <w:rPr>
          <w:sz w:val="20"/>
          <w:szCs w:val="20"/>
        </w:rPr>
      </w:pPr>
      <w:r>
        <w:rPr>
          <w:b/>
          <w:bCs/>
          <w:sz w:val="20"/>
          <w:szCs w:val="20"/>
        </w:rPr>
        <w:t>Conditional Pass with Minor Revisions</w:t>
      </w:r>
      <w:r>
        <w:rPr>
          <w:sz w:val="20"/>
          <w:szCs w:val="20"/>
        </w:rPr>
        <w:t xml:space="preserve">: Any member of the committee can request revisions, with written comments provided to the student. The </w:t>
      </w:r>
      <w:proofErr w:type="gramStart"/>
      <w:r>
        <w:rPr>
          <w:sz w:val="20"/>
          <w:szCs w:val="20"/>
        </w:rPr>
        <w:t>student</w:t>
      </w:r>
      <w:proofErr w:type="gramEnd"/>
      <w:r>
        <w:rPr>
          <w:sz w:val="20"/>
          <w:szCs w:val="20"/>
        </w:rPr>
        <w:t xml:space="preserve"> will have an opportunity to revise the proposal; this must be submitted with an accompanying letter detailing the changes made. The due date will be set when the revision is </w:t>
      </w:r>
      <w:r w:rsidR="00320945">
        <w:rPr>
          <w:sz w:val="20"/>
          <w:szCs w:val="20"/>
        </w:rPr>
        <w:t>requested but</w:t>
      </w:r>
      <w:r>
        <w:rPr>
          <w:sz w:val="20"/>
          <w:szCs w:val="20"/>
        </w:rPr>
        <w:t xml:space="preserve"> is typically about a month after written comments are delivered. Once the requesting committee member(s) approves the revised dissertation, the student is granted a successful dissertation defense status. The dissertation must be submitted to the Graduate School within three months of the original defense. </w:t>
      </w:r>
    </w:p>
    <w:p w14:paraId="24EFDF70" w14:textId="77777777" w:rsidR="00D81755" w:rsidRDefault="00D81755">
      <w:pPr>
        <w:rPr>
          <w:b/>
          <w:bCs/>
          <w:sz w:val="20"/>
          <w:szCs w:val="20"/>
        </w:rPr>
      </w:pPr>
    </w:p>
    <w:p w14:paraId="24EFDF71" w14:textId="77777777" w:rsidR="00D81755" w:rsidRDefault="0073296A">
      <w:pPr>
        <w:rPr>
          <w:b/>
          <w:bCs/>
          <w:sz w:val="20"/>
          <w:szCs w:val="20"/>
        </w:rPr>
      </w:pPr>
      <w:r>
        <w:rPr>
          <w:b/>
          <w:bCs/>
          <w:sz w:val="20"/>
          <w:szCs w:val="20"/>
        </w:rPr>
        <w:t>Major Revisions</w:t>
      </w:r>
      <w:r>
        <w:rPr>
          <w:sz w:val="20"/>
          <w:szCs w:val="20"/>
        </w:rPr>
        <w:t xml:space="preserve">: If the Dissertation Committee determines that the oral defense is unsatisfactory, they may request major revisions to the written component and/or that the oral component be retaken. </w:t>
      </w:r>
      <w:r>
        <w:rPr>
          <w:b/>
          <w:bCs/>
          <w:sz w:val="20"/>
          <w:szCs w:val="20"/>
        </w:rPr>
        <w:t>Only one revision and/or re-examination is permitted.</w:t>
      </w:r>
    </w:p>
    <w:p w14:paraId="24EFDF72" w14:textId="77777777" w:rsidR="00D81755" w:rsidRDefault="00D81755">
      <w:pPr>
        <w:rPr>
          <w:b/>
          <w:bCs/>
          <w:sz w:val="20"/>
          <w:szCs w:val="20"/>
        </w:rPr>
      </w:pPr>
    </w:p>
    <w:p w14:paraId="24EFDF73" w14:textId="67AD8675" w:rsidR="00D81755" w:rsidRDefault="0073296A">
      <w:pPr>
        <w:rPr>
          <w:sz w:val="20"/>
          <w:szCs w:val="20"/>
        </w:rPr>
      </w:pPr>
      <w:proofErr w:type="gramStart"/>
      <w:r>
        <w:rPr>
          <w:b/>
          <w:bCs/>
          <w:sz w:val="20"/>
          <w:szCs w:val="20"/>
        </w:rPr>
        <w:t>Fail</w:t>
      </w:r>
      <w:proofErr w:type="gramEnd"/>
      <w:r>
        <w:rPr>
          <w:b/>
          <w:bCs/>
          <w:sz w:val="20"/>
          <w:szCs w:val="20"/>
        </w:rPr>
        <w:t>:</w:t>
      </w:r>
      <w:r>
        <w:rPr>
          <w:sz w:val="20"/>
          <w:szCs w:val="20"/>
        </w:rPr>
        <w:t xml:space="preserve"> A student fails when two members of the review committee </w:t>
      </w:r>
      <w:r w:rsidR="00C31D40">
        <w:rPr>
          <w:sz w:val="20"/>
          <w:szCs w:val="20"/>
        </w:rPr>
        <w:t>vote</w:t>
      </w:r>
      <w:r>
        <w:rPr>
          <w:sz w:val="20"/>
          <w:szCs w:val="20"/>
        </w:rPr>
        <w:t xml:space="preserve"> for failure or if the student does not complete the revision by the assigned due date. Failure of the Written Examination may result in withdrawal of the student from the program. Failing twice is automatically considered unsatisfactory progress, and the student must exit from the </w:t>
      </w:r>
      <w:sdt>
        <w:sdtPr>
          <w:tag w:val="goog_rdk_1"/>
          <w:id w:val="-2052022718"/>
        </w:sdtPr>
        <w:sdtEndPr/>
        <w:sdtContent/>
      </w:sdt>
      <w:r>
        <w:rPr>
          <w:sz w:val="20"/>
          <w:szCs w:val="20"/>
        </w:rPr>
        <w:t>program.</w:t>
      </w:r>
    </w:p>
    <w:p w14:paraId="24EFDF74" w14:textId="77777777" w:rsidR="00D81755" w:rsidRDefault="00D81755">
      <w:pPr>
        <w:rPr>
          <w:b/>
          <w:bCs/>
        </w:rPr>
      </w:pPr>
    </w:p>
    <w:p w14:paraId="24EFDF75" w14:textId="77777777" w:rsidR="00D81755" w:rsidRDefault="0073296A">
      <w:pPr>
        <w:pStyle w:val="Heading2"/>
      </w:pPr>
      <w:bookmarkStart w:id="55" w:name="_heading=h.15w9ogrhn8s2" w:colFirst="0" w:colLast="0"/>
      <w:bookmarkEnd w:id="55"/>
      <w:r>
        <w:lastRenderedPageBreak/>
        <w:t>SPECIAL CIRCUMSTANCES</w:t>
      </w:r>
    </w:p>
    <w:p w14:paraId="24EFDF76" w14:textId="77777777" w:rsidR="00D81755" w:rsidRDefault="00D81755"/>
    <w:p w14:paraId="24EFDF77" w14:textId="77777777" w:rsidR="00D81755" w:rsidRDefault="0073296A">
      <w:pPr>
        <w:spacing w:after="240"/>
        <w:rPr>
          <w:sz w:val="20"/>
          <w:szCs w:val="20"/>
        </w:rPr>
      </w:pPr>
      <w:r>
        <w:rPr>
          <w:b/>
          <w:bCs/>
          <w:sz w:val="20"/>
          <w:szCs w:val="20"/>
        </w:rPr>
        <w:t>Readmission</w:t>
      </w:r>
    </w:p>
    <w:p w14:paraId="24EFDF78" w14:textId="77777777" w:rsidR="00D81755" w:rsidRDefault="0073296A">
      <w:pPr>
        <w:spacing w:after="240"/>
        <w:rPr>
          <w:sz w:val="20"/>
          <w:szCs w:val="20"/>
        </w:rPr>
      </w:pPr>
      <w:r>
        <w:rPr>
          <w:sz w:val="20"/>
          <w:szCs w:val="20"/>
        </w:rPr>
        <w:t xml:space="preserve">Graduate students who have interrupted their attendance at Stony Brook by withdrawing from the University or by taking a leave of absence must </w:t>
      </w:r>
      <w:proofErr w:type="gramStart"/>
      <w:r>
        <w:rPr>
          <w:sz w:val="20"/>
          <w:szCs w:val="20"/>
        </w:rPr>
        <w:t>be readmitted</w:t>
      </w:r>
      <w:proofErr w:type="gramEnd"/>
      <w:r>
        <w:rPr>
          <w:sz w:val="20"/>
          <w:szCs w:val="20"/>
        </w:rPr>
        <w:t xml:space="preserve"> to reactivate their graduate career. The student initiates the process by submitting a completed “Readmission” form to their program. The form is available at the Graduate School or may be downloaded at </w:t>
      </w:r>
      <w:hyperlink r:id="rId47">
        <w:r>
          <w:rPr>
            <w:color w:val="0000FF"/>
            <w:sz w:val="20"/>
            <w:szCs w:val="20"/>
            <w:u w:val="single"/>
          </w:rPr>
          <w:t>www.gradsunysb.edu</w:t>
        </w:r>
      </w:hyperlink>
      <w:r>
        <w:rPr>
          <w:sz w:val="20"/>
          <w:szCs w:val="20"/>
        </w:rPr>
        <w:t>.</w:t>
      </w:r>
    </w:p>
    <w:p w14:paraId="24EFDF79" w14:textId="77777777" w:rsidR="00D81755" w:rsidRDefault="0073296A">
      <w:pPr>
        <w:numPr>
          <w:ilvl w:val="0"/>
          <w:numId w:val="20"/>
        </w:numPr>
        <w:spacing w:after="240"/>
        <w:rPr>
          <w:sz w:val="20"/>
          <w:szCs w:val="20"/>
        </w:rPr>
      </w:pPr>
      <w:r>
        <w:rPr>
          <w:sz w:val="20"/>
          <w:szCs w:val="20"/>
        </w:rPr>
        <w:t>Students returning from a currently approved Leave of Absence are generally guaranteed readmission.</w:t>
      </w:r>
    </w:p>
    <w:p w14:paraId="24EFDF7A" w14:textId="77777777" w:rsidR="00D81755" w:rsidRDefault="0073296A">
      <w:pPr>
        <w:numPr>
          <w:ilvl w:val="0"/>
          <w:numId w:val="20"/>
        </w:numPr>
        <w:spacing w:after="240"/>
        <w:rPr>
          <w:sz w:val="20"/>
          <w:szCs w:val="20"/>
        </w:rPr>
      </w:pPr>
      <w:r>
        <w:rPr>
          <w:sz w:val="20"/>
          <w:szCs w:val="20"/>
        </w:rPr>
        <w:t xml:space="preserve">Students not on </w:t>
      </w:r>
      <w:proofErr w:type="gramStart"/>
      <w:r>
        <w:rPr>
          <w:sz w:val="20"/>
          <w:szCs w:val="20"/>
        </w:rPr>
        <w:t>an official</w:t>
      </w:r>
      <w:proofErr w:type="gramEnd"/>
      <w:r>
        <w:rPr>
          <w:sz w:val="20"/>
          <w:szCs w:val="20"/>
        </w:rPr>
        <w:t xml:space="preserve"> leave of absence must pay a $500 readmission fee.</w:t>
      </w:r>
    </w:p>
    <w:p w14:paraId="24EFDF7B" w14:textId="77777777" w:rsidR="00D81755" w:rsidRDefault="0073296A">
      <w:pPr>
        <w:numPr>
          <w:ilvl w:val="0"/>
          <w:numId w:val="20"/>
        </w:numPr>
        <w:spacing w:after="240"/>
        <w:rPr>
          <w:sz w:val="20"/>
          <w:szCs w:val="20"/>
        </w:rPr>
      </w:pPr>
      <w:r>
        <w:rPr>
          <w:sz w:val="20"/>
          <w:szCs w:val="20"/>
        </w:rPr>
        <w:t xml:space="preserve">International students must also submit a new financial affidavit and be </w:t>
      </w:r>
      <w:proofErr w:type="gramStart"/>
      <w:r>
        <w:rPr>
          <w:sz w:val="20"/>
          <w:szCs w:val="20"/>
        </w:rPr>
        <w:t>cleared</w:t>
      </w:r>
      <w:proofErr w:type="gramEnd"/>
      <w:r>
        <w:rPr>
          <w:sz w:val="20"/>
          <w:szCs w:val="20"/>
        </w:rPr>
        <w:t xml:space="preserve"> by an international student advisor before the readmission process can be concluded.</w:t>
      </w:r>
    </w:p>
    <w:p w14:paraId="24EFDF7C" w14:textId="77777777" w:rsidR="00D81755" w:rsidRDefault="0073296A">
      <w:pPr>
        <w:spacing w:after="240"/>
        <w:rPr>
          <w:sz w:val="20"/>
          <w:szCs w:val="20"/>
        </w:rPr>
      </w:pPr>
      <w:r>
        <w:rPr>
          <w:sz w:val="20"/>
          <w:szCs w:val="20"/>
        </w:rPr>
        <w:t>If the program approves the request, the readmission form is submitted to the Graduate School for final approval. The program or the Graduate School may set specific requirements to be fulfilled by the readmitted student during the first year of their readmission.</w:t>
      </w:r>
    </w:p>
    <w:p w14:paraId="24EFDF7D" w14:textId="77777777" w:rsidR="00D81755" w:rsidRDefault="0073296A">
      <w:pPr>
        <w:spacing w:after="240"/>
        <w:rPr>
          <w:sz w:val="20"/>
          <w:szCs w:val="20"/>
        </w:rPr>
      </w:pPr>
      <w:r>
        <w:rPr>
          <w:b/>
          <w:bCs/>
          <w:sz w:val="20"/>
          <w:szCs w:val="20"/>
        </w:rPr>
        <w:t>Conditional Admission</w:t>
      </w:r>
    </w:p>
    <w:p w14:paraId="24EFDF7E" w14:textId="77777777" w:rsidR="00D81755" w:rsidRDefault="0073296A">
      <w:pPr>
        <w:spacing w:after="240"/>
        <w:rPr>
          <w:sz w:val="20"/>
          <w:szCs w:val="20"/>
        </w:rPr>
      </w:pPr>
      <w:r>
        <w:rPr>
          <w:sz w:val="20"/>
          <w:szCs w:val="20"/>
        </w:rPr>
        <w:t>In exceptional cases where certain admission requirements are not met or the prior education preparation is inadequate, an applicant may be admitted conditionally. Such applicants will be considered on probation during the first semester. PHCOR Program recommendation and Graduate School approval are required for conditional admission.</w:t>
      </w:r>
    </w:p>
    <w:p w14:paraId="24EFDF7F" w14:textId="77777777" w:rsidR="00D81755" w:rsidRDefault="0073296A">
      <w:pPr>
        <w:numPr>
          <w:ilvl w:val="0"/>
          <w:numId w:val="21"/>
        </w:numPr>
        <w:spacing w:after="240"/>
        <w:rPr>
          <w:sz w:val="20"/>
          <w:szCs w:val="20"/>
        </w:rPr>
      </w:pPr>
      <w:r>
        <w:rPr>
          <w:sz w:val="20"/>
          <w:szCs w:val="20"/>
        </w:rPr>
        <w:t>Students admitted conditionally for a low cumulative GPA must earn an overall graduate average of at least a B (3.0) during the first semester of enrollment to be permitted to continue. In this case, the student is considered to have achieved regular status.</w:t>
      </w:r>
    </w:p>
    <w:p w14:paraId="24EFDF80" w14:textId="77777777" w:rsidR="00D81755" w:rsidRDefault="0073296A">
      <w:pPr>
        <w:numPr>
          <w:ilvl w:val="0"/>
          <w:numId w:val="21"/>
        </w:numPr>
        <w:spacing w:after="240"/>
        <w:rPr>
          <w:sz w:val="20"/>
          <w:szCs w:val="20"/>
        </w:rPr>
      </w:pPr>
      <w:r>
        <w:rPr>
          <w:sz w:val="20"/>
          <w:szCs w:val="20"/>
        </w:rPr>
        <w:t xml:space="preserve">A student admitted conditionally because of a low cumulative GPA who fails to earn a B (3.0) average in the first semester will not be permitted to </w:t>
      </w:r>
      <w:proofErr w:type="gramStart"/>
      <w:r>
        <w:rPr>
          <w:sz w:val="20"/>
          <w:szCs w:val="20"/>
        </w:rPr>
        <w:t>reenroll</w:t>
      </w:r>
      <w:proofErr w:type="gramEnd"/>
      <w:r>
        <w:rPr>
          <w:sz w:val="20"/>
          <w:szCs w:val="20"/>
        </w:rPr>
        <w:t>. Both the student’s program and the Graduate School may set conditions that the student must satisfy during the early period of graduate work.</w:t>
      </w:r>
    </w:p>
    <w:p w14:paraId="24EFDF81" w14:textId="77777777" w:rsidR="00D81755" w:rsidRDefault="0073296A">
      <w:pPr>
        <w:spacing w:after="240"/>
        <w:rPr>
          <w:sz w:val="20"/>
          <w:szCs w:val="20"/>
        </w:rPr>
      </w:pPr>
      <w:r>
        <w:rPr>
          <w:b/>
          <w:bCs/>
          <w:sz w:val="20"/>
          <w:szCs w:val="20"/>
        </w:rPr>
        <w:t>Secondary Program</w:t>
      </w:r>
    </w:p>
    <w:p w14:paraId="24EFDF82" w14:textId="77777777" w:rsidR="00D81755" w:rsidRDefault="0073296A">
      <w:pPr>
        <w:spacing w:after="240"/>
        <w:rPr>
          <w:sz w:val="20"/>
          <w:szCs w:val="20"/>
        </w:rPr>
      </w:pPr>
      <w:r>
        <w:rPr>
          <w:sz w:val="20"/>
          <w:szCs w:val="20"/>
        </w:rPr>
        <w:t>Should a PHCOR student wish to add a secondary program to his or her primary program of study, a Permission to Enroll in a Secondary Degree or Certificate Program form must be submitted to the Graduate School with original signatures by both prior and new department or program chairs. Final approval rests with the Graduate School. International students are also required to obtain approval of an international student advisor.</w:t>
      </w:r>
    </w:p>
    <w:p w14:paraId="24EFDF83" w14:textId="77777777" w:rsidR="00D81755" w:rsidRDefault="0073296A">
      <w:pPr>
        <w:rPr>
          <w:b/>
          <w:bCs/>
        </w:rPr>
      </w:pPr>
      <w:r>
        <w:br w:type="page"/>
      </w:r>
    </w:p>
    <w:p w14:paraId="24EFDF84" w14:textId="77777777" w:rsidR="00D81755" w:rsidRDefault="0073296A">
      <w:pPr>
        <w:pStyle w:val="Heading2"/>
      </w:pPr>
      <w:bookmarkStart w:id="56" w:name="_heading=h.4mkguwle4u3v" w:colFirst="0" w:colLast="0"/>
      <w:bookmarkEnd w:id="56"/>
      <w:r>
        <w:lastRenderedPageBreak/>
        <w:t>STUDENT GROUPSORGANIZATION OF PUBLIC HEALTH STUDENTS &amp; ALUMNI (OPHSA)</w:t>
      </w:r>
    </w:p>
    <w:p w14:paraId="24EFDF85" w14:textId="77777777" w:rsidR="00D81755" w:rsidRDefault="0073296A">
      <w:pPr>
        <w:rPr>
          <w:sz w:val="20"/>
          <w:szCs w:val="20"/>
          <w:highlight w:val="yellow"/>
        </w:rPr>
      </w:pPr>
      <w:r>
        <w:rPr>
          <w:sz w:val="20"/>
          <w:szCs w:val="20"/>
        </w:rPr>
        <w:t xml:space="preserve">The </w:t>
      </w:r>
      <w:r>
        <w:rPr>
          <w:i/>
          <w:iCs/>
          <w:sz w:val="20"/>
          <w:szCs w:val="20"/>
        </w:rPr>
        <w:t>Program in Public Health</w:t>
      </w:r>
      <w:r>
        <w:rPr>
          <w:sz w:val="20"/>
          <w:szCs w:val="20"/>
        </w:rPr>
        <w:t xml:space="preserve"> graduated its first class of Master of Public Health </w:t>
      </w:r>
      <w:proofErr w:type="gramStart"/>
      <w:r>
        <w:rPr>
          <w:sz w:val="20"/>
          <w:szCs w:val="20"/>
        </w:rPr>
        <w:t>degree program</w:t>
      </w:r>
      <w:proofErr w:type="gramEnd"/>
      <w:r>
        <w:rPr>
          <w:sz w:val="20"/>
          <w:szCs w:val="20"/>
        </w:rPr>
        <w:t xml:space="preserve"> students in May 2006.  Since that time, the alumni of the program have organized with students to create an association that serves both groups</w:t>
      </w:r>
      <w:proofErr w:type="gramStart"/>
      <w:r>
        <w:rPr>
          <w:sz w:val="20"/>
          <w:szCs w:val="20"/>
        </w:rPr>
        <w:t>:  Organization</w:t>
      </w:r>
      <w:proofErr w:type="gramEnd"/>
      <w:r>
        <w:rPr>
          <w:sz w:val="20"/>
          <w:szCs w:val="20"/>
        </w:rPr>
        <w:t xml:space="preserve"> of Public Health Students &amp; Alumni (OPHSA).  The purpose of OPHSA is to achieve the following goals:</w:t>
      </w:r>
      <w:r>
        <w:rPr>
          <w:sz w:val="20"/>
          <w:szCs w:val="20"/>
        </w:rPr>
        <w:br/>
      </w:r>
    </w:p>
    <w:p w14:paraId="24EFDF86" w14:textId="77777777" w:rsidR="00D81755" w:rsidRDefault="0073296A">
      <w:pPr>
        <w:numPr>
          <w:ilvl w:val="0"/>
          <w:numId w:val="8"/>
        </w:numPr>
        <w:pBdr>
          <w:top w:val="nil"/>
          <w:left w:val="nil"/>
          <w:bottom w:val="nil"/>
          <w:right w:val="nil"/>
          <w:between w:val="nil"/>
        </w:pBdr>
        <w:tabs>
          <w:tab w:val="left" w:pos="630"/>
        </w:tabs>
        <w:ind w:left="630" w:hanging="450"/>
        <w:rPr>
          <w:color w:val="000000"/>
          <w:sz w:val="20"/>
          <w:szCs w:val="20"/>
        </w:rPr>
      </w:pPr>
      <w:r>
        <w:rPr>
          <w:color w:val="000000"/>
          <w:sz w:val="20"/>
          <w:szCs w:val="20"/>
        </w:rPr>
        <w:t>To promote the general welfare and professional image of Stony Brook University and the PPH.</w:t>
      </w:r>
    </w:p>
    <w:p w14:paraId="24EFDF87" w14:textId="77777777" w:rsidR="00D81755" w:rsidRDefault="0073296A">
      <w:pPr>
        <w:numPr>
          <w:ilvl w:val="0"/>
          <w:numId w:val="8"/>
        </w:numPr>
        <w:pBdr>
          <w:top w:val="nil"/>
          <w:left w:val="nil"/>
          <w:bottom w:val="nil"/>
          <w:right w:val="nil"/>
          <w:between w:val="nil"/>
        </w:pBdr>
        <w:tabs>
          <w:tab w:val="left" w:pos="630"/>
        </w:tabs>
        <w:ind w:left="630" w:hanging="450"/>
        <w:rPr>
          <w:color w:val="000000"/>
          <w:sz w:val="20"/>
          <w:szCs w:val="20"/>
        </w:rPr>
      </w:pPr>
      <w:r>
        <w:rPr>
          <w:color w:val="000000"/>
          <w:sz w:val="20"/>
          <w:szCs w:val="20"/>
        </w:rPr>
        <w:t>To foster a strong relationship between the school, faculty and members of the organization.</w:t>
      </w:r>
    </w:p>
    <w:p w14:paraId="24EFDF88" w14:textId="77777777" w:rsidR="00D81755" w:rsidRDefault="0073296A">
      <w:pPr>
        <w:numPr>
          <w:ilvl w:val="0"/>
          <w:numId w:val="8"/>
        </w:numPr>
        <w:pBdr>
          <w:top w:val="nil"/>
          <w:left w:val="nil"/>
          <w:bottom w:val="nil"/>
          <w:right w:val="nil"/>
          <w:between w:val="nil"/>
        </w:pBdr>
        <w:tabs>
          <w:tab w:val="left" w:pos="630"/>
        </w:tabs>
        <w:ind w:left="630" w:hanging="450"/>
        <w:rPr>
          <w:color w:val="000000"/>
          <w:sz w:val="20"/>
          <w:szCs w:val="20"/>
        </w:rPr>
      </w:pPr>
      <w:r>
        <w:rPr>
          <w:color w:val="000000"/>
          <w:sz w:val="20"/>
          <w:szCs w:val="20"/>
        </w:rPr>
        <w:t>To foster and sustain collegial relationships between members of the student body and alumni of the PPH.</w:t>
      </w:r>
    </w:p>
    <w:p w14:paraId="24EFDF89" w14:textId="77777777" w:rsidR="00D81755" w:rsidRDefault="0073296A">
      <w:pPr>
        <w:numPr>
          <w:ilvl w:val="0"/>
          <w:numId w:val="8"/>
        </w:numPr>
        <w:pBdr>
          <w:top w:val="nil"/>
          <w:left w:val="nil"/>
          <w:bottom w:val="nil"/>
          <w:right w:val="nil"/>
          <w:between w:val="nil"/>
        </w:pBdr>
        <w:tabs>
          <w:tab w:val="left" w:pos="630"/>
        </w:tabs>
        <w:ind w:left="630" w:hanging="450"/>
        <w:rPr>
          <w:color w:val="000000"/>
          <w:sz w:val="20"/>
          <w:szCs w:val="20"/>
        </w:rPr>
      </w:pPr>
      <w:r>
        <w:rPr>
          <w:color w:val="000000"/>
          <w:sz w:val="20"/>
          <w:szCs w:val="20"/>
        </w:rPr>
        <w:t>To promote participation between alumni and students in educational, scientific and public health research activities.</w:t>
      </w:r>
    </w:p>
    <w:p w14:paraId="24EFDF8A" w14:textId="77777777" w:rsidR="00D81755" w:rsidRDefault="0073296A">
      <w:pPr>
        <w:numPr>
          <w:ilvl w:val="0"/>
          <w:numId w:val="8"/>
        </w:numPr>
        <w:pBdr>
          <w:top w:val="nil"/>
          <w:left w:val="nil"/>
          <w:bottom w:val="nil"/>
          <w:right w:val="nil"/>
          <w:between w:val="nil"/>
        </w:pBdr>
        <w:tabs>
          <w:tab w:val="left" w:pos="630"/>
        </w:tabs>
        <w:ind w:left="630" w:hanging="450"/>
        <w:rPr>
          <w:color w:val="000000"/>
          <w:sz w:val="20"/>
          <w:szCs w:val="20"/>
        </w:rPr>
      </w:pPr>
      <w:r>
        <w:rPr>
          <w:color w:val="000000"/>
          <w:sz w:val="20"/>
          <w:szCs w:val="20"/>
        </w:rPr>
        <w:t>To identify and develop resources to assist students, alumni and faculty in their careers.</w:t>
      </w:r>
    </w:p>
    <w:p w14:paraId="24EFDF8B" w14:textId="77777777" w:rsidR="00D81755" w:rsidRDefault="0073296A">
      <w:pPr>
        <w:numPr>
          <w:ilvl w:val="0"/>
          <w:numId w:val="8"/>
        </w:numPr>
        <w:pBdr>
          <w:top w:val="nil"/>
          <w:left w:val="nil"/>
          <w:bottom w:val="nil"/>
          <w:right w:val="nil"/>
          <w:between w:val="nil"/>
        </w:pBdr>
        <w:tabs>
          <w:tab w:val="left" w:pos="630"/>
        </w:tabs>
        <w:ind w:left="630" w:hanging="450"/>
        <w:rPr>
          <w:color w:val="000000"/>
          <w:sz w:val="20"/>
          <w:szCs w:val="20"/>
        </w:rPr>
      </w:pPr>
      <w:r>
        <w:rPr>
          <w:color w:val="000000"/>
          <w:sz w:val="20"/>
          <w:szCs w:val="20"/>
        </w:rPr>
        <w:t>To maintain student and alumni representatives who will advocate for the needs of the student population on standing committees of the PPH.</w:t>
      </w:r>
    </w:p>
    <w:p w14:paraId="24EFDF8C" w14:textId="77777777" w:rsidR="00D81755" w:rsidRDefault="0073296A">
      <w:pPr>
        <w:numPr>
          <w:ilvl w:val="0"/>
          <w:numId w:val="8"/>
        </w:numPr>
        <w:pBdr>
          <w:top w:val="nil"/>
          <w:left w:val="nil"/>
          <w:bottom w:val="nil"/>
          <w:right w:val="nil"/>
          <w:between w:val="nil"/>
        </w:pBdr>
        <w:tabs>
          <w:tab w:val="left" w:pos="630"/>
        </w:tabs>
        <w:ind w:left="630" w:hanging="450"/>
        <w:rPr>
          <w:color w:val="000000"/>
          <w:sz w:val="20"/>
          <w:szCs w:val="20"/>
        </w:rPr>
      </w:pPr>
      <w:r>
        <w:rPr>
          <w:color w:val="000000"/>
          <w:sz w:val="20"/>
          <w:szCs w:val="20"/>
        </w:rPr>
        <w:t>To promote educational activities necessary for the maintenance and promotion of certification in the public health professions.</w:t>
      </w:r>
    </w:p>
    <w:p w14:paraId="24EFDF8D" w14:textId="77777777" w:rsidR="00D81755" w:rsidRDefault="0073296A">
      <w:pPr>
        <w:numPr>
          <w:ilvl w:val="0"/>
          <w:numId w:val="8"/>
        </w:numPr>
        <w:pBdr>
          <w:top w:val="nil"/>
          <w:left w:val="nil"/>
          <w:bottom w:val="nil"/>
          <w:right w:val="nil"/>
          <w:between w:val="nil"/>
        </w:pBdr>
        <w:tabs>
          <w:tab w:val="left" w:pos="630"/>
        </w:tabs>
        <w:ind w:left="630" w:hanging="450"/>
        <w:rPr>
          <w:color w:val="000000"/>
          <w:sz w:val="20"/>
          <w:szCs w:val="20"/>
        </w:rPr>
      </w:pPr>
      <w:r>
        <w:rPr>
          <w:color w:val="000000"/>
          <w:sz w:val="20"/>
          <w:szCs w:val="20"/>
        </w:rPr>
        <w:t>To promote public participation and advocacy for public health issues.</w:t>
      </w:r>
    </w:p>
    <w:p w14:paraId="24EFDF8E" w14:textId="77777777" w:rsidR="00D81755" w:rsidRDefault="0073296A">
      <w:pPr>
        <w:pBdr>
          <w:top w:val="nil"/>
          <w:left w:val="nil"/>
          <w:bottom w:val="nil"/>
          <w:right w:val="nil"/>
          <w:between w:val="nil"/>
        </w:pBdr>
        <w:rPr>
          <w:color w:val="000000"/>
          <w:sz w:val="20"/>
          <w:szCs w:val="20"/>
        </w:rPr>
      </w:pPr>
      <w:r>
        <w:rPr>
          <w:color w:val="000000"/>
          <w:sz w:val="20"/>
          <w:szCs w:val="20"/>
        </w:rPr>
        <w:br/>
        <w:t xml:space="preserve">The </w:t>
      </w:r>
      <w:r>
        <w:rPr>
          <w:i/>
          <w:iCs/>
          <w:color w:val="000000"/>
          <w:sz w:val="20"/>
          <w:szCs w:val="20"/>
        </w:rPr>
        <w:t>Program in Public Health</w:t>
      </w:r>
      <w:r>
        <w:rPr>
          <w:color w:val="000000"/>
          <w:sz w:val="20"/>
          <w:szCs w:val="20"/>
        </w:rPr>
        <w:t xml:space="preserve"> strongly supports OPHSA and encourages alumni and student participation.  OPHSA </w:t>
      </w:r>
      <w:r>
        <w:rPr>
          <w:sz w:val="20"/>
          <w:szCs w:val="20"/>
        </w:rPr>
        <w:t>is a very</w:t>
      </w:r>
      <w:r>
        <w:rPr>
          <w:color w:val="000000"/>
          <w:sz w:val="20"/>
          <w:szCs w:val="20"/>
        </w:rPr>
        <w:t xml:space="preserve"> important step in furthering the vision, mission, and goals of the Program.</w:t>
      </w:r>
    </w:p>
    <w:p w14:paraId="24EFDF8F" w14:textId="77777777" w:rsidR="00D81755" w:rsidRDefault="00D81755">
      <w:pPr>
        <w:pBdr>
          <w:top w:val="nil"/>
          <w:left w:val="nil"/>
          <w:bottom w:val="nil"/>
          <w:right w:val="nil"/>
          <w:between w:val="nil"/>
        </w:pBdr>
        <w:rPr>
          <w:color w:val="000000"/>
          <w:sz w:val="20"/>
          <w:szCs w:val="20"/>
        </w:rPr>
      </w:pPr>
    </w:p>
    <w:p w14:paraId="24EFDF90" w14:textId="77777777" w:rsidR="00D81755" w:rsidRDefault="0073296A">
      <w:pPr>
        <w:pStyle w:val="Heading2"/>
        <w:rPr>
          <w:b w:val="0"/>
          <w:bCs w:val="0"/>
        </w:rPr>
      </w:pPr>
      <w:bookmarkStart w:id="57" w:name="_heading=h.kdzmazjrf7yy" w:colFirst="0" w:colLast="0"/>
      <w:bookmarkEnd w:id="57"/>
      <w:r>
        <w:t>FUTURE HEALTHCARE LEADERS OF STONY BROOK</w:t>
      </w:r>
    </w:p>
    <w:p w14:paraId="24EFDF91" w14:textId="77777777" w:rsidR="00D81755" w:rsidRDefault="0073296A">
      <w:pPr>
        <w:pBdr>
          <w:top w:val="nil"/>
          <w:left w:val="nil"/>
          <w:bottom w:val="nil"/>
          <w:right w:val="nil"/>
          <w:between w:val="nil"/>
        </w:pBdr>
        <w:rPr>
          <w:color w:val="000000"/>
          <w:sz w:val="20"/>
          <w:szCs w:val="20"/>
        </w:rPr>
      </w:pPr>
      <w:r>
        <w:rPr>
          <w:color w:val="000000"/>
          <w:sz w:val="20"/>
          <w:szCs w:val="20"/>
        </w:rPr>
        <w:t xml:space="preserve">The mission of the Future Health Care Leaders of Stony Brook organization is to provide </w:t>
      </w:r>
      <w:proofErr w:type="gramStart"/>
      <w:r>
        <w:rPr>
          <w:color w:val="000000"/>
          <w:sz w:val="20"/>
          <w:szCs w:val="20"/>
        </w:rPr>
        <w:t>students</w:t>
      </w:r>
      <w:proofErr w:type="gramEnd"/>
      <w:r>
        <w:rPr>
          <w:color w:val="000000"/>
          <w:sz w:val="20"/>
          <w:szCs w:val="20"/>
        </w:rPr>
        <w:t xml:space="preserve"> the opportunity to acquire health care management knowledge by offering educational forums, networking events, and other activities for members to enhance their professional skills and opportunities. The organization will explore health literature, processes of problem solving, and decision-making within health care while also fostering a community accepting of diversity and valuing patient care.</w:t>
      </w:r>
    </w:p>
    <w:p w14:paraId="24EFDF92" w14:textId="77777777" w:rsidR="00D81755" w:rsidRDefault="00D81755">
      <w:pPr>
        <w:pBdr>
          <w:top w:val="nil"/>
          <w:left w:val="nil"/>
          <w:bottom w:val="nil"/>
          <w:right w:val="nil"/>
          <w:between w:val="nil"/>
        </w:pBdr>
        <w:rPr>
          <w:sz w:val="20"/>
          <w:szCs w:val="20"/>
        </w:rPr>
      </w:pPr>
    </w:p>
    <w:p w14:paraId="24EFDF94" w14:textId="06B92912" w:rsidR="00D81755" w:rsidRDefault="0073296A">
      <w:pPr>
        <w:pBdr>
          <w:top w:val="nil"/>
          <w:left w:val="nil"/>
          <w:bottom w:val="nil"/>
          <w:right w:val="nil"/>
          <w:between w:val="nil"/>
        </w:pBdr>
        <w:rPr>
          <w:sz w:val="20"/>
          <w:szCs w:val="20"/>
        </w:rPr>
      </w:pPr>
      <w:r>
        <w:rPr>
          <w:color w:val="000000"/>
          <w:sz w:val="20"/>
          <w:szCs w:val="20"/>
        </w:rPr>
        <w:t xml:space="preserve">Future Health Care Leaders of Stony Brook, as a registered organization at Stony Brook </w:t>
      </w:r>
      <w:proofErr w:type="gramStart"/>
      <w:r>
        <w:rPr>
          <w:color w:val="000000"/>
          <w:sz w:val="20"/>
          <w:szCs w:val="20"/>
        </w:rPr>
        <w:t>University</w:t>
      </w:r>
      <w:proofErr w:type="gramEnd"/>
      <w:r>
        <w:rPr>
          <w:color w:val="000000"/>
          <w:sz w:val="20"/>
          <w:szCs w:val="20"/>
        </w:rPr>
        <w:t xml:space="preserve"> </w:t>
      </w:r>
      <w:proofErr w:type="gramStart"/>
      <w:r>
        <w:rPr>
          <w:color w:val="000000"/>
          <w:sz w:val="20"/>
          <w:szCs w:val="20"/>
        </w:rPr>
        <w:t>is</w:t>
      </w:r>
      <w:proofErr w:type="gramEnd"/>
      <w:r>
        <w:rPr>
          <w:color w:val="000000"/>
          <w:sz w:val="20"/>
          <w:szCs w:val="20"/>
        </w:rPr>
        <w:t xml:space="preserve"> committed to promoting a safe and vibrant campus. In receiving annual recognition through the Department of Student Engagement and Activities, no individual or group affiliated with Future Health Care Leaders of Stony Brook will take any action or create a situation which recklessly or intentionally endangers mental or physical health or involves the forced consumption of liquor or drugs for the purpose of initiation into or affiliation with this organization. The leaders and members of Future Health Care Leaders of Stony Brook also agree to abide by all aspects of the Stony Brook University Conduct of Student Responsibility, University policies and Federal, New York State and Local laws.</w:t>
      </w:r>
      <w:r>
        <w:rPr>
          <w:color w:val="000000"/>
          <w:sz w:val="20"/>
          <w:szCs w:val="20"/>
        </w:rPr>
        <w:br/>
      </w:r>
    </w:p>
    <w:p w14:paraId="04B712E7" w14:textId="34D94BBD" w:rsidR="00AF7558" w:rsidRDefault="00AF7558" w:rsidP="00AF7558">
      <w:pPr>
        <w:pStyle w:val="Heading2"/>
        <w:rPr>
          <w:b w:val="0"/>
          <w:bCs w:val="0"/>
        </w:rPr>
      </w:pPr>
      <w:r>
        <w:t>PUBLIC HEALTH STUDENT RESEARCH GROUP</w:t>
      </w:r>
    </w:p>
    <w:p w14:paraId="0449667B" w14:textId="5172B95D" w:rsidR="00A60044" w:rsidRPr="00A60044" w:rsidRDefault="00A60044" w:rsidP="00A60044">
      <w:pPr>
        <w:rPr>
          <w:sz w:val="20"/>
          <w:szCs w:val="20"/>
        </w:rPr>
      </w:pPr>
      <w:r w:rsidRPr="00A60044">
        <w:rPr>
          <w:sz w:val="20"/>
          <w:szCs w:val="20"/>
          <w:lang w:val="en-US"/>
        </w:rPr>
        <w:t xml:space="preserve">Our mission is to foster a safe, supportive, and creative space for all students interested in Public Health research. </w:t>
      </w:r>
      <w:r>
        <w:rPr>
          <w:sz w:val="20"/>
          <w:szCs w:val="20"/>
          <w:lang w:val="en-US"/>
        </w:rPr>
        <w:br/>
      </w:r>
      <w:r w:rsidRPr="00A60044">
        <w:rPr>
          <w:sz w:val="20"/>
          <w:szCs w:val="20"/>
        </w:rPr>
        <w:t>Our vision is to create a collaborative, engaging, and supportive space to help public health students succeed in their career and research goals!</w:t>
      </w:r>
    </w:p>
    <w:p w14:paraId="0EED3196" w14:textId="77777777" w:rsidR="00A60044" w:rsidRPr="00A60044" w:rsidRDefault="00A60044" w:rsidP="00A60044">
      <w:pPr>
        <w:rPr>
          <w:sz w:val="20"/>
          <w:szCs w:val="20"/>
          <w:lang w:val="en-US"/>
        </w:rPr>
      </w:pPr>
      <w:r w:rsidRPr="00A60044">
        <w:rPr>
          <w:sz w:val="20"/>
          <w:szCs w:val="20"/>
          <w:lang w:val="en-US"/>
        </w:rPr>
        <w:t>We aim to:</w:t>
      </w:r>
    </w:p>
    <w:p w14:paraId="3C94041C" w14:textId="77777777" w:rsidR="00A60044" w:rsidRPr="00A60044" w:rsidRDefault="00A60044" w:rsidP="00A60044">
      <w:pPr>
        <w:pStyle w:val="ListParagraph"/>
        <w:numPr>
          <w:ilvl w:val="0"/>
          <w:numId w:val="34"/>
        </w:numPr>
        <w:rPr>
          <w:sz w:val="20"/>
          <w:szCs w:val="20"/>
          <w:lang w:val="en-US"/>
        </w:rPr>
      </w:pPr>
      <w:r w:rsidRPr="00A60044">
        <w:rPr>
          <w:sz w:val="20"/>
          <w:szCs w:val="20"/>
          <w:lang w:val="en-US"/>
        </w:rPr>
        <w:t xml:space="preserve">build a collaborative and dynamic research community </w:t>
      </w:r>
    </w:p>
    <w:p w14:paraId="156E7DFE" w14:textId="77777777" w:rsidR="00A60044" w:rsidRPr="00A60044" w:rsidRDefault="00A60044" w:rsidP="00A60044">
      <w:pPr>
        <w:pStyle w:val="ListParagraph"/>
        <w:numPr>
          <w:ilvl w:val="0"/>
          <w:numId w:val="34"/>
        </w:numPr>
        <w:rPr>
          <w:sz w:val="20"/>
          <w:szCs w:val="20"/>
          <w:lang w:val="en-US"/>
        </w:rPr>
      </w:pPr>
      <w:r w:rsidRPr="00A60044">
        <w:rPr>
          <w:sz w:val="20"/>
          <w:szCs w:val="20"/>
          <w:lang w:val="en-US"/>
        </w:rPr>
        <w:t>encourage students to engage in meaningful projects</w:t>
      </w:r>
    </w:p>
    <w:p w14:paraId="4AE42841" w14:textId="77777777" w:rsidR="00A60044" w:rsidRPr="00A60044" w:rsidRDefault="00A60044" w:rsidP="00A60044">
      <w:pPr>
        <w:pStyle w:val="ListParagraph"/>
        <w:numPr>
          <w:ilvl w:val="0"/>
          <w:numId w:val="34"/>
        </w:numPr>
        <w:rPr>
          <w:sz w:val="20"/>
          <w:szCs w:val="20"/>
          <w:lang w:val="en-US"/>
        </w:rPr>
      </w:pPr>
      <w:r w:rsidRPr="00A60044">
        <w:rPr>
          <w:sz w:val="20"/>
          <w:szCs w:val="20"/>
          <w:lang w:val="en-US"/>
        </w:rPr>
        <w:t>help students develop essential research skills</w:t>
      </w:r>
    </w:p>
    <w:p w14:paraId="2DE91B2F" w14:textId="77777777" w:rsidR="00A60044" w:rsidRPr="00A60044" w:rsidRDefault="00A60044" w:rsidP="00A60044">
      <w:pPr>
        <w:pStyle w:val="ListParagraph"/>
        <w:numPr>
          <w:ilvl w:val="0"/>
          <w:numId w:val="34"/>
        </w:numPr>
        <w:rPr>
          <w:sz w:val="20"/>
          <w:szCs w:val="20"/>
          <w:lang w:val="en-US"/>
        </w:rPr>
      </w:pPr>
      <w:r w:rsidRPr="00A60044">
        <w:rPr>
          <w:sz w:val="20"/>
          <w:szCs w:val="20"/>
          <w:lang w:val="en-US"/>
        </w:rPr>
        <w:t xml:space="preserve">support one another in our research journeys. </w:t>
      </w:r>
    </w:p>
    <w:p w14:paraId="62C49E2F" w14:textId="08982FE9" w:rsidR="00A60044" w:rsidRPr="00A60044" w:rsidRDefault="00A60044" w:rsidP="00A60044">
      <w:pPr>
        <w:rPr>
          <w:sz w:val="20"/>
          <w:szCs w:val="20"/>
          <w:lang w:val="en-US"/>
        </w:rPr>
      </w:pPr>
      <w:r w:rsidRPr="00A60044">
        <w:rPr>
          <w:sz w:val="20"/>
          <w:szCs w:val="20"/>
          <w:lang w:val="en-US"/>
        </w:rPr>
        <w:t>Planned activities include seminars, presentations, and workshops covering topics such as applying for funding, job searching and interviewing, statistical software and coding (R, SAS, STATA, SPSS), research methods, and academic writing.</w:t>
      </w:r>
    </w:p>
    <w:p w14:paraId="24EFDF95" w14:textId="77777777" w:rsidR="00D81755" w:rsidRPr="00A60044" w:rsidRDefault="0073296A">
      <w:pPr>
        <w:rPr>
          <w:b/>
          <w:bCs/>
          <w:sz w:val="20"/>
          <w:szCs w:val="20"/>
        </w:rPr>
      </w:pPr>
      <w:r w:rsidRPr="00A60044">
        <w:rPr>
          <w:sz w:val="20"/>
          <w:szCs w:val="20"/>
        </w:rPr>
        <w:br w:type="page"/>
      </w:r>
    </w:p>
    <w:p w14:paraId="24EFDF96" w14:textId="77777777" w:rsidR="00D81755" w:rsidRDefault="0073296A">
      <w:pPr>
        <w:pStyle w:val="Heading1"/>
        <w:rPr>
          <w:color w:val="000000"/>
          <w:sz w:val="20"/>
          <w:szCs w:val="20"/>
        </w:rPr>
      </w:pPr>
      <w:bookmarkStart w:id="58" w:name="_heading=h.vp2enw1v1j5l" w:colFirst="0" w:colLast="0"/>
      <w:bookmarkEnd w:id="58"/>
      <w:r>
        <w:lastRenderedPageBreak/>
        <w:t>PROGRAM AND UNIVERSITY POLICIES</w:t>
      </w:r>
    </w:p>
    <w:p w14:paraId="24EFDF97" w14:textId="77777777" w:rsidR="00D81755" w:rsidRDefault="0073296A">
      <w:pPr>
        <w:pStyle w:val="Heading2"/>
      </w:pPr>
      <w:bookmarkStart w:id="59" w:name="_heading=h.ca23oykhzuub" w:colFirst="0" w:colLast="0"/>
      <w:bookmarkEnd w:id="59"/>
      <w:r>
        <w:t>STATEMENT OF STUDENT RESPONSIBILITY</w:t>
      </w:r>
    </w:p>
    <w:p w14:paraId="24EFDF98" w14:textId="77777777" w:rsidR="00D81755" w:rsidRDefault="0073296A">
      <w:pPr>
        <w:jc w:val="both"/>
        <w:rPr>
          <w:color w:val="000000"/>
          <w:sz w:val="20"/>
          <w:szCs w:val="20"/>
        </w:rPr>
      </w:pPr>
      <w:r>
        <w:rPr>
          <w:color w:val="000000"/>
          <w:sz w:val="20"/>
          <w:szCs w:val="20"/>
        </w:rPr>
        <w:t xml:space="preserve">Students themselves are responsible for reviewing, understanding, and abiding by the University's regulations, procedures, requirements, and deadlines as described in </w:t>
      </w:r>
      <w:r>
        <w:rPr>
          <w:color w:val="000000"/>
          <w:sz w:val="20"/>
          <w:szCs w:val="20"/>
          <w:u w:val="single"/>
        </w:rPr>
        <w:t>all</w:t>
      </w:r>
      <w:r>
        <w:rPr>
          <w:color w:val="000000"/>
          <w:sz w:val="20"/>
          <w:szCs w:val="20"/>
        </w:rPr>
        <w:t xml:space="preserve"> official publications. These include the Graduate Bulletin, the Health Sciences Center Bulletin, as well as the </w:t>
      </w:r>
      <w:r>
        <w:rPr>
          <w:i/>
          <w:iCs/>
          <w:color w:val="000000"/>
          <w:sz w:val="20"/>
          <w:szCs w:val="20"/>
        </w:rPr>
        <w:t>Program in Public Health</w:t>
      </w:r>
      <w:r>
        <w:rPr>
          <w:color w:val="000000"/>
          <w:sz w:val="20"/>
          <w:szCs w:val="20"/>
        </w:rPr>
        <w:t xml:space="preserve"> Bulletin, website, and handouts. Students should keep all bulletins, as well as any correspondence with Program and University personnel for reference.</w:t>
      </w:r>
    </w:p>
    <w:p w14:paraId="24EFDF99" w14:textId="77777777" w:rsidR="00D81755" w:rsidRDefault="0073296A">
      <w:pPr>
        <w:pStyle w:val="Heading2"/>
      </w:pPr>
      <w:bookmarkStart w:id="60" w:name="_heading=h.444dlv8fpect" w:colFirst="0" w:colLast="0"/>
      <w:bookmarkEnd w:id="60"/>
      <w:r>
        <w:t>GRADING</w:t>
      </w:r>
    </w:p>
    <w:p w14:paraId="24EFDF9A" w14:textId="77777777" w:rsidR="00D81755" w:rsidRDefault="0073296A">
      <w:pPr>
        <w:jc w:val="both"/>
        <w:rPr>
          <w:b/>
          <w:bCs/>
          <w:color w:val="000000"/>
          <w:sz w:val="20"/>
          <w:szCs w:val="20"/>
        </w:rPr>
      </w:pPr>
      <w:bookmarkStart w:id="61" w:name="_heading=h.3o7alnk" w:colFirst="0" w:colLast="0"/>
      <w:bookmarkEnd w:id="61"/>
      <w:r>
        <w:rPr>
          <w:color w:val="000000"/>
          <w:sz w:val="20"/>
          <w:szCs w:val="20"/>
        </w:rPr>
        <w:t xml:space="preserve">The following grading system is used in the </w:t>
      </w:r>
      <w:r>
        <w:rPr>
          <w:i/>
          <w:iCs/>
          <w:color w:val="000000"/>
          <w:sz w:val="20"/>
          <w:szCs w:val="20"/>
        </w:rPr>
        <w:t>Program in Public Health</w:t>
      </w:r>
      <w:r>
        <w:rPr>
          <w:color w:val="000000"/>
          <w:sz w:val="20"/>
          <w:szCs w:val="20"/>
        </w:rPr>
        <w:t>:</w:t>
      </w:r>
    </w:p>
    <w:p w14:paraId="24EFDF9B" w14:textId="77777777" w:rsidR="00D81755" w:rsidRDefault="0073296A">
      <w:pPr>
        <w:jc w:val="both"/>
        <w:rPr>
          <w:color w:val="000000"/>
          <w:sz w:val="20"/>
          <w:szCs w:val="20"/>
        </w:rPr>
      </w:pPr>
      <w:r>
        <w:rPr>
          <w:color w:val="000000"/>
          <w:sz w:val="20"/>
          <w:szCs w:val="20"/>
        </w:rPr>
        <w:t xml:space="preserve">A (4.0), A- (3.67), B+ (3.33), B (3.00), B- (2.67), C+ (2.33), C (2.00), C- (1.67), and F (0.00). </w:t>
      </w:r>
    </w:p>
    <w:p w14:paraId="24EFDF9C" w14:textId="77777777" w:rsidR="00D81755" w:rsidRDefault="0073296A">
      <w:pPr>
        <w:jc w:val="both"/>
        <w:rPr>
          <w:color w:val="000000"/>
          <w:sz w:val="20"/>
          <w:szCs w:val="20"/>
        </w:rPr>
      </w:pPr>
      <w:r>
        <w:rPr>
          <w:color w:val="000000"/>
          <w:sz w:val="20"/>
          <w:szCs w:val="20"/>
        </w:rPr>
        <w:t xml:space="preserve">Unless specified differently in the course syllabus, course grades on a 100-point scale are:  </w:t>
      </w:r>
    </w:p>
    <w:p w14:paraId="24EFDF9D" w14:textId="77777777" w:rsidR="00D81755" w:rsidRDefault="0073296A">
      <w:pPr>
        <w:jc w:val="both"/>
        <w:rPr>
          <w:color w:val="000000"/>
          <w:sz w:val="20"/>
          <w:szCs w:val="20"/>
        </w:rPr>
      </w:pPr>
      <w:r>
        <w:rPr>
          <w:color w:val="000000"/>
          <w:sz w:val="20"/>
          <w:szCs w:val="20"/>
        </w:rPr>
        <w:t>A (93-100); A- (90-92); B+ (87-89); B (83-86); B- (80-82); C+ (77-79); C (73-76); C- (70-72); F (69 or lower).</w:t>
      </w:r>
    </w:p>
    <w:p w14:paraId="24EFDF9E" w14:textId="77777777" w:rsidR="00D81755" w:rsidRDefault="00D81755">
      <w:pPr>
        <w:jc w:val="both"/>
        <w:rPr>
          <w:color w:val="000000"/>
          <w:sz w:val="20"/>
          <w:szCs w:val="20"/>
        </w:rPr>
      </w:pPr>
    </w:p>
    <w:p w14:paraId="24EFDF9F" w14:textId="77777777" w:rsidR="00D81755" w:rsidRDefault="0073296A">
      <w:pPr>
        <w:jc w:val="both"/>
        <w:rPr>
          <w:color w:val="000000"/>
          <w:sz w:val="20"/>
          <w:szCs w:val="20"/>
        </w:rPr>
      </w:pPr>
      <w:proofErr w:type="gramStart"/>
      <w:r>
        <w:rPr>
          <w:color w:val="000000"/>
          <w:sz w:val="20"/>
          <w:szCs w:val="20"/>
        </w:rPr>
        <w:t>In order to</w:t>
      </w:r>
      <w:proofErr w:type="gramEnd"/>
      <w:r>
        <w:rPr>
          <w:color w:val="000000"/>
          <w:sz w:val="20"/>
          <w:szCs w:val="20"/>
        </w:rPr>
        <w:t xml:space="preserve"> encourage students to develop excellent writing skills, course grades will reflect the quality of writing in course assignments.  The specific policy on grading the quality of writing will be the prerogative of the course instructor, and it must be explained in the course syllabus.</w:t>
      </w:r>
    </w:p>
    <w:p w14:paraId="24EFDFA0" w14:textId="77777777" w:rsidR="00D81755" w:rsidRDefault="00D81755">
      <w:pPr>
        <w:jc w:val="both"/>
        <w:rPr>
          <w:color w:val="000000"/>
          <w:sz w:val="20"/>
          <w:szCs w:val="20"/>
        </w:rPr>
      </w:pPr>
    </w:p>
    <w:p w14:paraId="24EFDFA1" w14:textId="77777777" w:rsidR="00D81755" w:rsidRDefault="0073296A">
      <w:pPr>
        <w:jc w:val="both"/>
        <w:rPr>
          <w:color w:val="000000"/>
          <w:sz w:val="20"/>
          <w:szCs w:val="20"/>
        </w:rPr>
      </w:pPr>
      <w:r>
        <w:rPr>
          <w:b/>
          <w:bCs/>
          <w:color w:val="000000"/>
          <w:sz w:val="20"/>
          <w:szCs w:val="20"/>
        </w:rPr>
        <w:t xml:space="preserve">Incompletes: </w:t>
      </w:r>
      <w:r>
        <w:rPr>
          <w:color w:val="000000"/>
          <w:sz w:val="20"/>
          <w:szCs w:val="20"/>
        </w:rPr>
        <w:t xml:space="preserve">PPH follows the Graduate School guidance on Incompletes: </w:t>
      </w:r>
    </w:p>
    <w:p w14:paraId="24EFDFA2" w14:textId="77777777" w:rsidR="00D81755" w:rsidRDefault="0073296A">
      <w:pPr>
        <w:shd w:val="clear" w:color="auto" w:fill="FFFFFF"/>
        <w:spacing w:before="280" w:after="280"/>
        <w:rPr>
          <w:color w:val="000000"/>
          <w:sz w:val="20"/>
          <w:szCs w:val="20"/>
        </w:rPr>
      </w:pPr>
      <w:r>
        <w:rPr>
          <w:color w:val="000000"/>
          <w:sz w:val="20"/>
          <w:szCs w:val="20"/>
        </w:rPr>
        <w:t xml:space="preserve">An </w:t>
      </w:r>
      <w:r>
        <w:rPr>
          <w:sz w:val="20"/>
          <w:szCs w:val="20"/>
        </w:rPr>
        <w:t>"I"</w:t>
      </w:r>
      <w:r>
        <w:rPr>
          <w:color w:val="000000"/>
          <w:sz w:val="20"/>
          <w:szCs w:val="20"/>
        </w:rPr>
        <w:t xml:space="preserve"> is an interim grade given at the discretion of the instructor at the student’s request and upon evidence that good cause, such as serious illness, prevented the student’s completion of course requirements. In granting a grade of </w:t>
      </w:r>
      <w:r>
        <w:rPr>
          <w:sz w:val="20"/>
          <w:szCs w:val="20"/>
        </w:rPr>
        <w:t xml:space="preserve">"I" </w:t>
      </w:r>
      <w:r>
        <w:rPr>
          <w:color w:val="000000"/>
          <w:sz w:val="20"/>
          <w:szCs w:val="20"/>
        </w:rPr>
        <w:t>the instructor signifies a willingness to receive student work and submit grades in accordance with official deadlines and policies.</w:t>
      </w:r>
    </w:p>
    <w:p w14:paraId="24EFDFA3" w14:textId="77777777" w:rsidR="00D81755" w:rsidRDefault="0073296A">
      <w:pPr>
        <w:shd w:val="clear" w:color="auto" w:fill="FFFFFF"/>
        <w:spacing w:before="280" w:after="280"/>
        <w:rPr>
          <w:color w:val="000000"/>
          <w:sz w:val="20"/>
          <w:szCs w:val="20"/>
        </w:rPr>
      </w:pPr>
      <w:r>
        <w:rPr>
          <w:color w:val="000000"/>
          <w:sz w:val="20"/>
          <w:szCs w:val="20"/>
        </w:rPr>
        <w:t>• Auditing a subsequent offering of the course may not make up an Incomplete.</w:t>
      </w:r>
    </w:p>
    <w:p w14:paraId="24EFDFA4" w14:textId="77777777" w:rsidR="00D81755" w:rsidRDefault="0073296A">
      <w:pPr>
        <w:shd w:val="clear" w:color="auto" w:fill="FFFFFF"/>
        <w:spacing w:before="280" w:after="280"/>
        <w:rPr>
          <w:color w:val="000000"/>
          <w:sz w:val="20"/>
          <w:szCs w:val="20"/>
        </w:rPr>
      </w:pPr>
      <w:r>
        <w:rPr>
          <w:color w:val="000000"/>
          <w:sz w:val="20"/>
          <w:szCs w:val="20"/>
        </w:rPr>
        <w:t>• Final grades for students granted temporary grades of Incompletes "I", must be submitted by the subsequent term. The deadline for "I" grade completion is listed on the academic calendar each semester and is published by the Registrar's Office. However, the instructor may require that the work be completed at any time prior to the end of the Incomplete extension period. Students should confer with their instructors to establish the deadline for the work to be completed.</w:t>
      </w:r>
    </w:p>
    <w:p w14:paraId="24EFDFA5" w14:textId="77777777" w:rsidR="00D81755" w:rsidRDefault="0073296A">
      <w:pPr>
        <w:shd w:val="clear" w:color="auto" w:fill="FFFFFF"/>
        <w:spacing w:before="280" w:after="280"/>
        <w:rPr>
          <w:color w:val="000000"/>
          <w:sz w:val="20"/>
          <w:szCs w:val="20"/>
        </w:rPr>
      </w:pPr>
      <w:r>
        <w:rPr>
          <w:color w:val="000000"/>
          <w:sz w:val="20"/>
          <w:szCs w:val="20"/>
        </w:rPr>
        <w:t xml:space="preserve">• An instructor may request an extension of the original Incomplete by sending written notification to the Office of Records/Registrar before the Academic Calendar deadline date. Any extension will usually be limited to the last day of classes of the semester following that </w:t>
      </w:r>
      <w:proofErr w:type="gramStart"/>
      <w:r>
        <w:rPr>
          <w:color w:val="000000"/>
          <w:sz w:val="20"/>
          <w:szCs w:val="20"/>
        </w:rPr>
        <w:t>in</w:t>
      </w:r>
      <w:proofErr w:type="gramEnd"/>
      <w:r>
        <w:rPr>
          <w:color w:val="000000"/>
          <w:sz w:val="20"/>
          <w:szCs w:val="20"/>
        </w:rPr>
        <w:t xml:space="preserve"> which the course was taken. Any subsequent extensions beyond the deadline must be approved by the Graduate School.</w:t>
      </w:r>
    </w:p>
    <w:p w14:paraId="24EFDFA6" w14:textId="77777777" w:rsidR="00D81755" w:rsidRDefault="0073296A">
      <w:pPr>
        <w:shd w:val="clear" w:color="auto" w:fill="FFFFFF"/>
        <w:spacing w:before="280" w:after="280"/>
        <w:rPr>
          <w:color w:val="000000"/>
          <w:sz w:val="20"/>
          <w:szCs w:val="20"/>
        </w:rPr>
      </w:pPr>
      <w:r>
        <w:rPr>
          <w:color w:val="000000"/>
          <w:sz w:val="20"/>
          <w:szCs w:val="20"/>
        </w:rPr>
        <w:t>• If final grades are not reported to the Office of Records/Registrar by the specified dates, the grade of I will automatically change to I/F.</w:t>
      </w:r>
    </w:p>
    <w:p w14:paraId="24EFDFA7" w14:textId="77777777" w:rsidR="00D81755" w:rsidRDefault="0073296A">
      <w:pPr>
        <w:pStyle w:val="Heading2"/>
      </w:pPr>
      <w:bookmarkStart w:id="62" w:name="_heading=h.180nm32gf6lf" w:colFirst="0" w:colLast="0"/>
      <w:bookmarkEnd w:id="62"/>
      <w:r>
        <w:t>ACADEMIC PROGRESS &amp; ACADEMIC STANDING</w:t>
      </w:r>
    </w:p>
    <w:p w14:paraId="24EFDFA8" w14:textId="77777777" w:rsidR="00D81755" w:rsidRDefault="0073296A">
      <w:pPr>
        <w:jc w:val="both"/>
        <w:rPr>
          <w:color w:val="000000"/>
          <w:sz w:val="20"/>
          <w:szCs w:val="20"/>
        </w:rPr>
      </w:pPr>
      <w:r>
        <w:rPr>
          <w:color w:val="000000"/>
          <w:sz w:val="20"/>
          <w:szCs w:val="20"/>
        </w:rPr>
        <w:t xml:space="preserve">Students must maintain a B average (3.0) in their Core and a B average (3.0) in their Concentration courses. All electives must be listed as selective or approved by the student’s faculty advisor </w:t>
      </w:r>
      <w:proofErr w:type="gramStart"/>
      <w:r>
        <w:rPr>
          <w:color w:val="000000"/>
          <w:sz w:val="20"/>
          <w:szCs w:val="20"/>
        </w:rPr>
        <w:t>in order to</w:t>
      </w:r>
      <w:proofErr w:type="gramEnd"/>
      <w:r>
        <w:rPr>
          <w:color w:val="000000"/>
          <w:sz w:val="20"/>
          <w:szCs w:val="20"/>
        </w:rPr>
        <w:t xml:space="preserve"> count toward completion of the degree.  In evaluating a student’s standing, the Program will not include electives in the GPA that are not listed as selectives or approved by the faculty advisor. </w:t>
      </w:r>
    </w:p>
    <w:p w14:paraId="24EFDFA9" w14:textId="77777777" w:rsidR="00D81755" w:rsidRDefault="00D81755">
      <w:pPr>
        <w:jc w:val="both"/>
        <w:rPr>
          <w:color w:val="000000"/>
          <w:sz w:val="20"/>
          <w:szCs w:val="20"/>
        </w:rPr>
      </w:pPr>
    </w:p>
    <w:p w14:paraId="24EFDFAA" w14:textId="77777777" w:rsidR="00D81755" w:rsidRDefault="0073296A">
      <w:pPr>
        <w:shd w:val="clear" w:color="auto" w:fill="FFFFFF"/>
        <w:jc w:val="both"/>
        <w:rPr>
          <w:sz w:val="20"/>
          <w:szCs w:val="20"/>
        </w:rPr>
      </w:pPr>
      <w:r>
        <w:rPr>
          <w:sz w:val="20"/>
          <w:szCs w:val="20"/>
        </w:rPr>
        <w:t>When a student’s cumulative graduate GPA falls below B (3.0) for grades earned in courses numbered 500 and above taken at Stony Brook, the student shall be placed on probation.  If the student’s overall GPA has been raised to B (3.0) by the end of the next semester of enrollment after being first notified of probation, the student will be returned to regular status.</w:t>
      </w:r>
    </w:p>
    <w:p w14:paraId="24EFDFAB" w14:textId="77777777" w:rsidR="00D81755" w:rsidRDefault="00D81755">
      <w:pPr>
        <w:shd w:val="clear" w:color="auto" w:fill="FFFFFF"/>
        <w:jc w:val="both"/>
        <w:rPr>
          <w:sz w:val="20"/>
          <w:szCs w:val="20"/>
        </w:rPr>
      </w:pPr>
    </w:p>
    <w:p w14:paraId="24EFDFAC" w14:textId="77777777" w:rsidR="00D81755" w:rsidRDefault="0073296A">
      <w:pPr>
        <w:shd w:val="clear" w:color="auto" w:fill="FFFFFF"/>
        <w:jc w:val="both"/>
        <w:rPr>
          <w:sz w:val="20"/>
          <w:szCs w:val="20"/>
        </w:rPr>
      </w:pPr>
      <w:r>
        <w:rPr>
          <w:sz w:val="20"/>
          <w:szCs w:val="20"/>
        </w:rPr>
        <w:t>Students may be on probation for a maximum of two semesters.  A student on academic probation who fails to achieve a 3.0 cumulative GPA by the end of the second semester on probation will usually not be permitted to re-enroll.</w:t>
      </w:r>
    </w:p>
    <w:p w14:paraId="24EFDFAD" w14:textId="77777777" w:rsidR="00D81755" w:rsidRDefault="00D81755">
      <w:pPr>
        <w:shd w:val="clear" w:color="auto" w:fill="FFFFFF"/>
        <w:jc w:val="both"/>
        <w:rPr>
          <w:sz w:val="20"/>
          <w:szCs w:val="20"/>
        </w:rPr>
      </w:pPr>
    </w:p>
    <w:p w14:paraId="24EFDFAE" w14:textId="77777777" w:rsidR="00D81755" w:rsidRDefault="0073296A">
      <w:pPr>
        <w:shd w:val="clear" w:color="auto" w:fill="FFFFFF"/>
        <w:jc w:val="both"/>
        <w:rPr>
          <w:sz w:val="20"/>
          <w:szCs w:val="20"/>
        </w:rPr>
      </w:pPr>
      <w:r>
        <w:rPr>
          <w:sz w:val="20"/>
          <w:szCs w:val="20"/>
        </w:rPr>
        <w:t>A student enrolled part time who has accumulated six semester credits with a cumulative average below 3.0 will have two semesters, or six additional credits (whichever comes first) to bring their cumulative GPA to 3.0.</w:t>
      </w:r>
    </w:p>
    <w:p w14:paraId="24EFDFAF" w14:textId="77777777" w:rsidR="00D81755" w:rsidRDefault="00D81755">
      <w:pPr>
        <w:jc w:val="both"/>
        <w:rPr>
          <w:sz w:val="20"/>
          <w:szCs w:val="20"/>
        </w:rPr>
      </w:pPr>
    </w:p>
    <w:p w14:paraId="24EFDFB0" w14:textId="77777777" w:rsidR="00D81755" w:rsidRDefault="0073296A">
      <w:pPr>
        <w:jc w:val="both"/>
        <w:rPr>
          <w:color w:val="000000"/>
          <w:sz w:val="20"/>
          <w:szCs w:val="20"/>
        </w:rPr>
      </w:pPr>
      <w:r>
        <w:rPr>
          <w:sz w:val="20"/>
          <w:szCs w:val="20"/>
        </w:rPr>
        <w:t xml:space="preserve">Temporary grades (I and NR), missing grades and those grades for which no numerical equivalents are defined (P, S, U, and R) are not calculated in determining the eligibility for academic probation. </w:t>
      </w:r>
      <w:r>
        <w:rPr>
          <w:color w:val="000000"/>
          <w:sz w:val="20"/>
          <w:szCs w:val="20"/>
        </w:rPr>
        <w:t xml:space="preserve">The degree requirements are rigorous, and students must be able to devote sufficient time to meet the performance standards required.  </w:t>
      </w:r>
    </w:p>
    <w:p w14:paraId="24EFDFB1" w14:textId="77777777" w:rsidR="00D81755" w:rsidRDefault="00D81755">
      <w:pPr>
        <w:jc w:val="both"/>
        <w:rPr>
          <w:color w:val="000000"/>
          <w:sz w:val="20"/>
          <w:szCs w:val="20"/>
        </w:rPr>
      </w:pPr>
    </w:p>
    <w:p w14:paraId="24EFDFB2" w14:textId="77777777" w:rsidR="00D81755" w:rsidRDefault="0073296A">
      <w:pPr>
        <w:jc w:val="both"/>
        <w:rPr>
          <w:color w:val="000000"/>
          <w:sz w:val="20"/>
          <w:szCs w:val="20"/>
        </w:rPr>
      </w:pPr>
      <w:r>
        <w:rPr>
          <w:b/>
          <w:bCs/>
          <w:color w:val="000000"/>
          <w:sz w:val="20"/>
          <w:szCs w:val="20"/>
        </w:rPr>
        <w:lastRenderedPageBreak/>
        <w:t>MPH and MHA</w:t>
      </w:r>
      <w:r>
        <w:rPr>
          <w:color w:val="000000"/>
          <w:sz w:val="20"/>
          <w:szCs w:val="20"/>
        </w:rPr>
        <w:t>: Part-time students typically complete the program in 3 years. The Program also accommodates full-time study leading to completion of the degree in as short a time as 21 months.</w:t>
      </w:r>
    </w:p>
    <w:p w14:paraId="24EFDFB3" w14:textId="77777777" w:rsidR="00D81755" w:rsidRDefault="00D81755">
      <w:pPr>
        <w:jc w:val="both"/>
        <w:rPr>
          <w:b/>
          <w:bCs/>
          <w:color w:val="000000"/>
          <w:sz w:val="20"/>
          <w:szCs w:val="20"/>
        </w:rPr>
      </w:pPr>
    </w:p>
    <w:p w14:paraId="24EFDFB4" w14:textId="77777777" w:rsidR="00D81755" w:rsidRDefault="0073296A">
      <w:pPr>
        <w:jc w:val="both"/>
        <w:rPr>
          <w:color w:val="000000"/>
          <w:sz w:val="20"/>
          <w:szCs w:val="20"/>
        </w:rPr>
      </w:pPr>
      <w:r>
        <w:rPr>
          <w:b/>
          <w:bCs/>
          <w:color w:val="000000"/>
          <w:sz w:val="20"/>
          <w:szCs w:val="20"/>
        </w:rPr>
        <w:t>PhD</w:t>
      </w:r>
      <w:proofErr w:type="gramStart"/>
      <w:r>
        <w:rPr>
          <w:b/>
          <w:bCs/>
          <w:color w:val="000000"/>
          <w:sz w:val="20"/>
          <w:szCs w:val="20"/>
        </w:rPr>
        <w:t xml:space="preserve">:  </w:t>
      </w:r>
      <w:r>
        <w:rPr>
          <w:color w:val="000000"/>
          <w:sz w:val="20"/>
          <w:szCs w:val="20"/>
        </w:rPr>
        <w:t>For</w:t>
      </w:r>
      <w:proofErr w:type="gramEnd"/>
      <w:r>
        <w:rPr>
          <w:color w:val="000000"/>
          <w:sz w:val="20"/>
          <w:szCs w:val="20"/>
        </w:rPr>
        <w:t xml:space="preserve"> full-time students</w:t>
      </w:r>
      <w:r>
        <w:rPr>
          <w:b/>
          <w:bCs/>
          <w:color w:val="000000"/>
          <w:sz w:val="20"/>
          <w:szCs w:val="20"/>
        </w:rPr>
        <w:t xml:space="preserve">, </w:t>
      </w:r>
      <w:r>
        <w:rPr>
          <w:color w:val="000000"/>
          <w:sz w:val="20"/>
          <w:szCs w:val="20"/>
        </w:rPr>
        <w:t>minimum time to completion is 3 years.</w:t>
      </w:r>
    </w:p>
    <w:p w14:paraId="24EFDFB5" w14:textId="77777777" w:rsidR="00D81755" w:rsidRDefault="00D81755">
      <w:pPr>
        <w:jc w:val="both"/>
        <w:rPr>
          <w:color w:val="000000"/>
          <w:sz w:val="20"/>
          <w:szCs w:val="20"/>
        </w:rPr>
      </w:pPr>
    </w:p>
    <w:p w14:paraId="24EFDFB6" w14:textId="77777777" w:rsidR="00D81755" w:rsidRDefault="00D81755">
      <w:pPr>
        <w:rPr>
          <w:b/>
          <w:bCs/>
          <w:i/>
          <w:iCs/>
          <w:color w:val="000000"/>
          <w:sz w:val="20"/>
          <w:szCs w:val="20"/>
        </w:rPr>
      </w:pPr>
    </w:p>
    <w:p w14:paraId="24EFDFB7" w14:textId="77777777" w:rsidR="00D81755" w:rsidRDefault="0073296A">
      <w:pPr>
        <w:ind w:hanging="90"/>
        <w:jc w:val="both"/>
        <w:rPr>
          <w:i/>
          <w:iCs/>
          <w:color w:val="000000"/>
          <w:sz w:val="20"/>
          <w:szCs w:val="20"/>
        </w:rPr>
      </w:pPr>
      <w:r>
        <w:rPr>
          <w:b/>
          <w:bCs/>
          <w:i/>
          <w:iCs/>
          <w:color w:val="000000"/>
          <w:sz w:val="20"/>
          <w:szCs w:val="20"/>
        </w:rPr>
        <w:t>Academic Standing Procedure</w:t>
      </w:r>
    </w:p>
    <w:p w14:paraId="24EFDFB8" w14:textId="77777777" w:rsidR="00D81755" w:rsidRDefault="00D81755">
      <w:pPr>
        <w:jc w:val="both"/>
        <w:rPr>
          <w:color w:val="000000"/>
          <w:sz w:val="20"/>
          <w:szCs w:val="20"/>
        </w:rPr>
      </w:pPr>
    </w:p>
    <w:p w14:paraId="24EFDFB9" w14:textId="77777777" w:rsidR="00D81755" w:rsidRDefault="0073296A">
      <w:pPr>
        <w:numPr>
          <w:ilvl w:val="0"/>
          <w:numId w:val="2"/>
        </w:numPr>
        <w:jc w:val="both"/>
        <w:rPr>
          <w:color w:val="000000"/>
          <w:sz w:val="20"/>
          <w:szCs w:val="20"/>
        </w:rPr>
      </w:pPr>
      <w:r>
        <w:rPr>
          <w:color w:val="000000"/>
          <w:sz w:val="20"/>
          <w:szCs w:val="20"/>
        </w:rPr>
        <w:t xml:space="preserve">The Program Director will send a </w:t>
      </w:r>
      <w:r>
        <w:rPr>
          <w:i/>
          <w:iCs/>
          <w:color w:val="000000"/>
          <w:sz w:val="20"/>
          <w:szCs w:val="20"/>
        </w:rPr>
        <w:t>Notification of Academic Standing</w:t>
      </w:r>
      <w:r>
        <w:rPr>
          <w:color w:val="000000"/>
          <w:sz w:val="20"/>
          <w:szCs w:val="20"/>
        </w:rPr>
        <w:t xml:space="preserve"> to all students facing academic probation or dismissal.  The letter will also contain the procedure for requesting an </w:t>
      </w:r>
      <w:r>
        <w:rPr>
          <w:i/>
          <w:iCs/>
          <w:color w:val="000000"/>
          <w:sz w:val="20"/>
          <w:szCs w:val="20"/>
        </w:rPr>
        <w:t>Academic Standing Hearing</w:t>
      </w:r>
      <w:r>
        <w:rPr>
          <w:color w:val="000000"/>
          <w:sz w:val="20"/>
          <w:szCs w:val="20"/>
        </w:rPr>
        <w:t>.  The letter must be sent via U.S. mail with return receipt requested, or Federal Express with signature required, or hand delivered.  If mailed, the letter will be sent to the student’s mailing address indicated in SOLAR.</w:t>
      </w:r>
    </w:p>
    <w:p w14:paraId="24EFDFBA" w14:textId="77777777" w:rsidR="00D81755" w:rsidRDefault="0073296A">
      <w:pPr>
        <w:numPr>
          <w:ilvl w:val="0"/>
          <w:numId w:val="2"/>
        </w:numPr>
        <w:jc w:val="both"/>
        <w:rPr>
          <w:color w:val="000000"/>
          <w:sz w:val="20"/>
          <w:szCs w:val="20"/>
        </w:rPr>
      </w:pPr>
      <w:r>
        <w:rPr>
          <w:color w:val="000000"/>
          <w:sz w:val="20"/>
          <w:szCs w:val="20"/>
        </w:rPr>
        <w:t xml:space="preserve">The </w:t>
      </w:r>
      <w:r>
        <w:rPr>
          <w:i/>
          <w:iCs/>
          <w:color w:val="000000"/>
          <w:sz w:val="20"/>
          <w:szCs w:val="20"/>
        </w:rPr>
        <w:t>Notification of Academic Standing</w:t>
      </w:r>
      <w:r>
        <w:rPr>
          <w:color w:val="000000"/>
          <w:sz w:val="20"/>
          <w:szCs w:val="20"/>
        </w:rPr>
        <w:t xml:space="preserve"> will be sent to full-time students at the end of the fall and spring semesters, following the policy outlined above.</w:t>
      </w:r>
    </w:p>
    <w:p w14:paraId="24EFDFBB" w14:textId="77777777" w:rsidR="00D81755" w:rsidRDefault="0073296A">
      <w:pPr>
        <w:numPr>
          <w:ilvl w:val="0"/>
          <w:numId w:val="2"/>
        </w:numPr>
        <w:jc w:val="both"/>
        <w:rPr>
          <w:color w:val="000000"/>
          <w:sz w:val="20"/>
          <w:szCs w:val="20"/>
        </w:rPr>
      </w:pPr>
      <w:r>
        <w:rPr>
          <w:color w:val="000000"/>
          <w:sz w:val="20"/>
          <w:szCs w:val="20"/>
        </w:rPr>
        <w:t xml:space="preserve">The </w:t>
      </w:r>
      <w:r>
        <w:rPr>
          <w:i/>
          <w:iCs/>
          <w:color w:val="000000"/>
          <w:sz w:val="20"/>
          <w:szCs w:val="20"/>
        </w:rPr>
        <w:t xml:space="preserve">Notification of Academic Standing </w:t>
      </w:r>
      <w:r>
        <w:rPr>
          <w:color w:val="000000"/>
          <w:sz w:val="20"/>
          <w:szCs w:val="20"/>
        </w:rPr>
        <w:t>will be sent to part-time students after the completion of 6 credits and then the subsequent 6 credits, following the policy outlined above.</w:t>
      </w:r>
    </w:p>
    <w:p w14:paraId="24EFDFBC" w14:textId="77777777" w:rsidR="00D81755" w:rsidRDefault="0073296A">
      <w:pPr>
        <w:jc w:val="both"/>
        <w:rPr>
          <w:color w:val="000000"/>
          <w:sz w:val="20"/>
          <w:szCs w:val="20"/>
        </w:rPr>
      </w:pPr>
      <w:r>
        <w:rPr>
          <w:color w:val="000000"/>
          <w:sz w:val="20"/>
          <w:szCs w:val="20"/>
        </w:rPr>
        <w:t>Any appeal of academic standing must follow the procedure outlined here:</w:t>
      </w:r>
    </w:p>
    <w:p w14:paraId="24EFDFBD" w14:textId="77777777" w:rsidR="00D81755" w:rsidRDefault="0073296A">
      <w:pPr>
        <w:numPr>
          <w:ilvl w:val="0"/>
          <w:numId w:val="11"/>
        </w:numPr>
        <w:shd w:val="clear" w:color="auto" w:fill="FFFFFF"/>
        <w:jc w:val="both"/>
        <w:rPr>
          <w:sz w:val="20"/>
          <w:szCs w:val="20"/>
        </w:rPr>
      </w:pPr>
      <w:r>
        <w:rPr>
          <w:sz w:val="20"/>
          <w:szCs w:val="20"/>
        </w:rPr>
        <w:t>The student will have three days to submit an appeal in writing to the director.  The letter must include reasons for the appeal.</w:t>
      </w:r>
    </w:p>
    <w:p w14:paraId="24EFDFBE" w14:textId="77777777" w:rsidR="00D81755" w:rsidRDefault="0073296A">
      <w:pPr>
        <w:numPr>
          <w:ilvl w:val="0"/>
          <w:numId w:val="11"/>
        </w:numPr>
        <w:shd w:val="clear" w:color="auto" w:fill="FFFFFF"/>
        <w:jc w:val="both"/>
        <w:rPr>
          <w:sz w:val="20"/>
          <w:szCs w:val="20"/>
        </w:rPr>
      </w:pPr>
      <w:r>
        <w:rPr>
          <w:sz w:val="20"/>
          <w:szCs w:val="20"/>
        </w:rPr>
        <w:t xml:space="preserve">The Committee on Academic Standing (composed of the Affiliated Program Director and the Associate Director for Academic Affairs) will determine whether to uphold or reverse the academic standing decision. </w:t>
      </w:r>
    </w:p>
    <w:p w14:paraId="24EFDFBF" w14:textId="77777777" w:rsidR="00D81755" w:rsidRDefault="0073296A">
      <w:pPr>
        <w:numPr>
          <w:ilvl w:val="0"/>
          <w:numId w:val="11"/>
        </w:numPr>
        <w:shd w:val="clear" w:color="auto" w:fill="FFFFFF"/>
        <w:jc w:val="both"/>
        <w:rPr>
          <w:sz w:val="20"/>
          <w:szCs w:val="20"/>
        </w:rPr>
      </w:pPr>
      <w:r>
        <w:rPr>
          <w:sz w:val="20"/>
          <w:szCs w:val="20"/>
        </w:rPr>
        <w:t xml:space="preserve">A meeting will be scheduled between the </w:t>
      </w:r>
      <w:proofErr w:type="gramStart"/>
      <w:r>
        <w:rPr>
          <w:sz w:val="20"/>
          <w:szCs w:val="20"/>
        </w:rPr>
        <w:t>student</w:t>
      </w:r>
      <w:proofErr w:type="gramEnd"/>
      <w:r>
        <w:rPr>
          <w:sz w:val="20"/>
          <w:szCs w:val="20"/>
        </w:rPr>
        <w:t xml:space="preserve"> and the committee to inform them of their decision. The faculty member who initially submitted the charge may choose whether to be present.  </w:t>
      </w:r>
    </w:p>
    <w:p w14:paraId="24EFDFC0" w14:textId="77777777" w:rsidR="00D81755" w:rsidRDefault="0073296A">
      <w:pPr>
        <w:pStyle w:val="Heading2"/>
      </w:pPr>
      <w:bookmarkStart w:id="63" w:name="_heading=h.q6mzp3ph44mh" w:colFirst="0" w:colLast="0"/>
      <w:bookmarkEnd w:id="63"/>
      <w:r>
        <w:t xml:space="preserve">ENROLLMENT NOTIFICATION POLICY </w:t>
      </w:r>
    </w:p>
    <w:p w14:paraId="24EFDFC1" w14:textId="77777777" w:rsidR="00D81755" w:rsidRDefault="0073296A">
      <w:pPr>
        <w:numPr>
          <w:ilvl w:val="0"/>
          <w:numId w:val="5"/>
        </w:numPr>
        <w:jc w:val="both"/>
        <w:rPr>
          <w:color w:val="000000"/>
          <w:sz w:val="20"/>
          <w:szCs w:val="20"/>
        </w:rPr>
      </w:pPr>
      <w:r>
        <w:rPr>
          <w:color w:val="000000"/>
          <w:sz w:val="20"/>
          <w:szCs w:val="20"/>
        </w:rPr>
        <w:t xml:space="preserve">Students must enroll in at least one course per semester (Fall and Spring) unless they complete a Change of Enrollment Form and submit this form to the Associate Director for Academic &amp; Student Affairs.  </w:t>
      </w:r>
    </w:p>
    <w:p w14:paraId="24EFDFC2" w14:textId="77777777" w:rsidR="00D81755" w:rsidRDefault="0073296A">
      <w:pPr>
        <w:numPr>
          <w:ilvl w:val="0"/>
          <w:numId w:val="5"/>
        </w:numPr>
        <w:jc w:val="both"/>
        <w:rPr>
          <w:color w:val="000000"/>
          <w:sz w:val="20"/>
          <w:szCs w:val="20"/>
        </w:rPr>
      </w:pPr>
      <w:r>
        <w:rPr>
          <w:color w:val="000000"/>
          <w:sz w:val="20"/>
          <w:szCs w:val="20"/>
        </w:rPr>
        <w:t xml:space="preserve">A Leave of Absence (LOA) of more than one year requires </w:t>
      </w:r>
      <w:proofErr w:type="gramStart"/>
      <w:r>
        <w:rPr>
          <w:color w:val="000000"/>
          <w:sz w:val="20"/>
          <w:szCs w:val="20"/>
        </w:rPr>
        <w:t>a written</w:t>
      </w:r>
      <w:proofErr w:type="gramEnd"/>
      <w:r>
        <w:rPr>
          <w:color w:val="000000"/>
          <w:sz w:val="20"/>
          <w:szCs w:val="20"/>
        </w:rPr>
        <w:t xml:space="preserve"> justification that must be approved by the Program Director.  </w:t>
      </w:r>
    </w:p>
    <w:p w14:paraId="24EFDFC3" w14:textId="77777777" w:rsidR="00D81755" w:rsidRDefault="0073296A">
      <w:pPr>
        <w:numPr>
          <w:ilvl w:val="0"/>
          <w:numId w:val="5"/>
        </w:numPr>
        <w:jc w:val="both"/>
        <w:rPr>
          <w:b/>
          <w:bCs/>
          <w:sz w:val="18"/>
          <w:szCs w:val="18"/>
          <w:u w:val="single"/>
        </w:rPr>
      </w:pPr>
      <w:r>
        <w:rPr>
          <w:color w:val="000000"/>
          <w:sz w:val="20"/>
          <w:szCs w:val="20"/>
        </w:rPr>
        <w:t xml:space="preserve">When a student wishes to return to active status after a LOA, a Term Activation Form must be completed and submitted to the Associate Director for Academic &amp; Student Affairs </w:t>
      </w:r>
      <w:proofErr w:type="gramStart"/>
      <w:r>
        <w:rPr>
          <w:color w:val="000000"/>
          <w:sz w:val="20"/>
          <w:szCs w:val="20"/>
        </w:rPr>
        <w:t>in order to</w:t>
      </w:r>
      <w:proofErr w:type="gramEnd"/>
      <w:r>
        <w:rPr>
          <w:color w:val="000000"/>
          <w:sz w:val="20"/>
          <w:szCs w:val="20"/>
        </w:rPr>
        <w:t xml:space="preserve"> enroll in courses.</w:t>
      </w:r>
    </w:p>
    <w:p w14:paraId="24EFDFC4" w14:textId="77777777" w:rsidR="00D81755" w:rsidRDefault="0073296A">
      <w:pPr>
        <w:pStyle w:val="Heading2"/>
      </w:pPr>
      <w:bookmarkStart w:id="64" w:name="_heading=h.35w3vya1m5zh" w:colFirst="0" w:colLast="0"/>
      <w:bookmarkEnd w:id="64"/>
      <w:r>
        <w:t>TIME AND LOCATION OF COURSES</w:t>
      </w:r>
    </w:p>
    <w:p w14:paraId="24EFDFC5" w14:textId="6554F753" w:rsidR="00D81755" w:rsidRDefault="0073296A">
      <w:pPr>
        <w:pBdr>
          <w:top w:val="nil"/>
          <w:left w:val="nil"/>
          <w:bottom w:val="nil"/>
          <w:right w:val="nil"/>
          <w:between w:val="nil"/>
        </w:pBdr>
        <w:jc w:val="both"/>
        <w:rPr>
          <w:color w:val="000000"/>
        </w:rPr>
      </w:pPr>
      <w:r>
        <w:rPr>
          <w:sz w:val="20"/>
          <w:szCs w:val="20"/>
        </w:rPr>
        <w:t xml:space="preserve">In-person </w:t>
      </w:r>
      <w:r>
        <w:rPr>
          <w:color w:val="000000"/>
          <w:sz w:val="20"/>
          <w:szCs w:val="20"/>
        </w:rPr>
        <w:t>courses are taught on the Health Sciences Center campus.</w:t>
      </w:r>
      <w:r>
        <w:rPr>
          <w:sz w:val="20"/>
          <w:szCs w:val="20"/>
        </w:rPr>
        <w:t xml:space="preserve"> I</w:t>
      </w:r>
      <w:r>
        <w:rPr>
          <w:color w:val="000000"/>
          <w:sz w:val="20"/>
          <w:szCs w:val="20"/>
        </w:rPr>
        <w:t xml:space="preserve">n-person and online </w:t>
      </w:r>
      <w:r>
        <w:rPr>
          <w:sz w:val="20"/>
          <w:szCs w:val="20"/>
        </w:rPr>
        <w:t xml:space="preserve">synchronous courses </w:t>
      </w:r>
      <w:r>
        <w:rPr>
          <w:color w:val="000000"/>
          <w:sz w:val="20"/>
          <w:szCs w:val="20"/>
        </w:rPr>
        <w:t>are</w:t>
      </w:r>
      <w:r w:rsidR="001109E5">
        <w:rPr>
          <w:color w:val="000000"/>
          <w:sz w:val="20"/>
          <w:szCs w:val="20"/>
        </w:rPr>
        <w:t xml:space="preserve"> typically</w:t>
      </w:r>
      <w:r>
        <w:rPr>
          <w:color w:val="000000"/>
          <w:sz w:val="20"/>
          <w:szCs w:val="20"/>
        </w:rPr>
        <w:t xml:space="preserve"> offered in the late afternoon or early evening for the Masters’ programs.  </w:t>
      </w:r>
    </w:p>
    <w:p w14:paraId="24EFDFC6" w14:textId="77777777" w:rsidR="00D81755" w:rsidRDefault="0073296A">
      <w:pPr>
        <w:pStyle w:val="Heading2"/>
      </w:pPr>
      <w:bookmarkStart w:id="65" w:name="_heading=h.323l0uzg5xj9" w:colFirst="0" w:colLast="0"/>
      <w:bookmarkEnd w:id="65"/>
      <w:r>
        <w:t>CREDIT TRANSFERS</w:t>
      </w:r>
    </w:p>
    <w:p w14:paraId="24EFDFC7" w14:textId="77777777" w:rsidR="00D81755" w:rsidRDefault="0073296A">
      <w:pPr>
        <w:jc w:val="both"/>
        <w:rPr>
          <w:color w:val="000000"/>
          <w:sz w:val="20"/>
          <w:szCs w:val="20"/>
        </w:rPr>
      </w:pPr>
      <w:r>
        <w:rPr>
          <w:color w:val="000000"/>
          <w:sz w:val="20"/>
          <w:szCs w:val="20"/>
        </w:rPr>
        <w:t xml:space="preserve">All MPH core courses must be taken at Stony Brook University, unless an equivalent was taken in an accredited public health program with a grade of B or better within the last five years. All MPH concentration courses are to be taken at Stony Brook University, unless an equivalent course, with a grade of B or better, was taken at an approved graduate program in the past five years and transfer of credits is approved by the </w:t>
      </w:r>
      <w:r>
        <w:rPr>
          <w:sz w:val="20"/>
          <w:szCs w:val="20"/>
        </w:rPr>
        <w:t>Associate Director for Student and Academic Affairs</w:t>
      </w:r>
      <w:r>
        <w:rPr>
          <w:color w:val="000000"/>
          <w:sz w:val="20"/>
          <w:szCs w:val="20"/>
        </w:rPr>
        <w:t xml:space="preserve">.  All MHA courses must be taken at Stony Brook University, unless an equivalent course </w:t>
      </w:r>
      <w:proofErr w:type="gramStart"/>
      <w:r>
        <w:rPr>
          <w:color w:val="000000"/>
          <w:sz w:val="20"/>
          <w:szCs w:val="20"/>
        </w:rPr>
        <w:t>was</w:t>
      </w:r>
      <w:proofErr w:type="gramEnd"/>
      <w:r>
        <w:rPr>
          <w:color w:val="000000"/>
          <w:sz w:val="20"/>
          <w:szCs w:val="20"/>
        </w:rPr>
        <w:t xml:space="preserve"> taken and completed with a grade of B or better within the last five years in an accredited health administration program and is approved by the MHA Program Director and Chair of the PPH Curriculum Committee. </w:t>
      </w:r>
    </w:p>
    <w:p w14:paraId="24EFDFC8" w14:textId="77777777" w:rsidR="00D81755" w:rsidRDefault="0073296A">
      <w:pPr>
        <w:jc w:val="both"/>
        <w:rPr>
          <w:color w:val="000000"/>
          <w:sz w:val="20"/>
          <w:szCs w:val="20"/>
        </w:rPr>
      </w:pPr>
      <w:r>
        <w:rPr>
          <w:color w:val="000000"/>
          <w:sz w:val="20"/>
          <w:szCs w:val="20"/>
        </w:rPr>
        <w:t>Students must request a credit transfer and complete the necessary forms.  In all respects, the PPH follows Stony Brook’s Transfer of Credit policy as stated in the HSC Bulletin:</w:t>
      </w:r>
    </w:p>
    <w:p w14:paraId="24EFDFC9" w14:textId="77777777" w:rsidR="00D81755" w:rsidRDefault="00D81755">
      <w:pPr>
        <w:jc w:val="both"/>
        <w:rPr>
          <w:i/>
          <w:iCs/>
          <w:color w:val="000000"/>
          <w:sz w:val="20"/>
          <w:szCs w:val="20"/>
        </w:rPr>
      </w:pPr>
    </w:p>
    <w:p w14:paraId="24EFDFCA" w14:textId="77777777" w:rsidR="00D81755" w:rsidRDefault="0073296A">
      <w:pPr>
        <w:rPr>
          <w:i/>
          <w:iCs/>
          <w:sz w:val="20"/>
          <w:szCs w:val="20"/>
        </w:rPr>
      </w:pPr>
      <w:r>
        <w:rPr>
          <w:i/>
          <w:iCs/>
          <w:sz w:val="20"/>
          <w:szCs w:val="20"/>
        </w:rPr>
        <w:t>“Graduate candidates may petition the school to accept credits from another institution toward his or her degree. The school has the responsibility of deciding on the applicability of credits to the specific program. Normally, transfer credits will be limited to no more than 6 credits.”</w:t>
      </w:r>
    </w:p>
    <w:p w14:paraId="24EFDFCB" w14:textId="77777777" w:rsidR="00D81755" w:rsidRDefault="0073296A">
      <w:pPr>
        <w:pStyle w:val="Heading2"/>
      </w:pPr>
      <w:bookmarkStart w:id="66" w:name="_heading=h.2grqrue" w:colFirst="0" w:colLast="0"/>
      <w:bookmarkEnd w:id="66"/>
      <w:r>
        <w:t>CHALLENGE EXAM POLICY &amp; PROCEDURE (MPH and MHA ONLY)</w:t>
      </w:r>
    </w:p>
    <w:p w14:paraId="24EFDFCC" w14:textId="77777777" w:rsidR="00D81755" w:rsidRDefault="0073296A">
      <w:pPr>
        <w:rPr>
          <w:sz w:val="20"/>
          <w:szCs w:val="20"/>
        </w:rPr>
      </w:pPr>
      <w:r>
        <w:rPr>
          <w:sz w:val="20"/>
          <w:szCs w:val="20"/>
        </w:rPr>
        <w:t>Stony Brook University has established a challenge program that permits matriculated undergraduates and graduates to earn advanced placement credit and course credit by taking examinations instead of traditional course work. No more than five courses (including credit from advanced placement examinations) can be credited to any student from challenge examinations, and no prerequisite for a course already passed may be included. Credit by examination does not count toward the University’s residence requirement and cannot be used to satisfy total credits necessary to qualify for degrees with distinction (From HSC Bulletin, page 31).</w:t>
      </w:r>
    </w:p>
    <w:p w14:paraId="24EFDFCD" w14:textId="77777777" w:rsidR="00D81755" w:rsidRDefault="00D81755">
      <w:pPr>
        <w:rPr>
          <w:b/>
          <w:bCs/>
          <w:sz w:val="20"/>
          <w:szCs w:val="20"/>
        </w:rPr>
      </w:pPr>
    </w:p>
    <w:p w14:paraId="24EFDFCE" w14:textId="77777777" w:rsidR="00D81755" w:rsidRDefault="0073296A">
      <w:pPr>
        <w:rPr>
          <w:sz w:val="20"/>
          <w:szCs w:val="20"/>
        </w:rPr>
      </w:pPr>
      <w:r>
        <w:rPr>
          <w:sz w:val="20"/>
          <w:szCs w:val="20"/>
        </w:rPr>
        <w:t>Students who have previously completed coursework that</w:t>
      </w:r>
      <w:r>
        <w:rPr>
          <w:b/>
          <w:bCs/>
          <w:sz w:val="20"/>
          <w:szCs w:val="20"/>
        </w:rPr>
        <w:t xml:space="preserve"> </w:t>
      </w:r>
      <w:r>
        <w:rPr>
          <w:sz w:val="20"/>
          <w:szCs w:val="20"/>
        </w:rPr>
        <w:t>duplicates a course in the curriculum may request a Challenge Exam for that course, if the previous coursework cannot be transferred into the program. This should be a rare occurrence, but it provides flexibility when necessary.   Examples of these situations are:</w:t>
      </w:r>
    </w:p>
    <w:p w14:paraId="24EFDFCF" w14:textId="77777777" w:rsidR="00D81755" w:rsidRDefault="0073296A">
      <w:pPr>
        <w:rPr>
          <w:sz w:val="20"/>
          <w:szCs w:val="20"/>
        </w:rPr>
      </w:pPr>
      <w:r>
        <w:rPr>
          <w:sz w:val="20"/>
          <w:szCs w:val="20"/>
        </w:rPr>
        <w:t>Students who have taken courses that have already counted toward another degree.</w:t>
      </w:r>
    </w:p>
    <w:p w14:paraId="24EFDFD0" w14:textId="77777777" w:rsidR="00D81755" w:rsidRDefault="0073296A">
      <w:pPr>
        <w:rPr>
          <w:sz w:val="20"/>
          <w:szCs w:val="20"/>
        </w:rPr>
      </w:pPr>
      <w:r>
        <w:rPr>
          <w:sz w:val="20"/>
          <w:szCs w:val="20"/>
        </w:rPr>
        <w:lastRenderedPageBreak/>
        <w:t>Students who have taken non-credit bearing courses, which cannot be transferred into and counted toward the degree.</w:t>
      </w:r>
    </w:p>
    <w:p w14:paraId="24EFDFD1" w14:textId="77777777" w:rsidR="00D81755" w:rsidRDefault="00D81755">
      <w:pPr>
        <w:rPr>
          <w:b/>
          <w:bCs/>
          <w:sz w:val="20"/>
          <w:szCs w:val="20"/>
        </w:rPr>
      </w:pPr>
    </w:p>
    <w:p w14:paraId="24EFDFD2" w14:textId="77777777" w:rsidR="00D81755" w:rsidRDefault="0073296A">
      <w:pPr>
        <w:rPr>
          <w:b/>
          <w:bCs/>
          <w:sz w:val="20"/>
          <w:szCs w:val="20"/>
        </w:rPr>
      </w:pPr>
      <w:r>
        <w:rPr>
          <w:b/>
          <w:bCs/>
          <w:sz w:val="20"/>
          <w:szCs w:val="20"/>
        </w:rPr>
        <w:t>A Challenge Exam can only be taken once.  Students who do not pass a Challenge Exam must take the regular course. A student interested in the challenge exam process must inquire no less than three (3) weeks before the start of the semester in which the course is being taught.</w:t>
      </w:r>
    </w:p>
    <w:p w14:paraId="24EFDFD3" w14:textId="77777777" w:rsidR="00D81755" w:rsidRDefault="00D81755">
      <w:pPr>
        <w:rPr>
          <w:b/>
          <w:bCs/>
          <w:sz w:val="20"/>
          <w:szCs w:val="20"/>
        </w:rPr>
      </w:pPr>
    </w:p>
    <w:p w14:paraId="24EFDFD4" w14:textId="77777777" w:rsidR="00D81755" w:rsidRDefault="0073296A">
      <w:pPr>
        <w:rPr>
          <w:b/>
          <w:bCs/>
          <w:i/>
          <w:iCs/>
          <w:sz w:val="20"/>
          <w:szCs w:val="20"/>
        </w:rPr>
      </w:pPr>
      <w:r>
        <w:rPr>
          <w:b/>
          <w:bCs/>
          <w:i/>
          <w:iCs/>
          <w:sz w:val="20"/>
          <w:szCs w:val="20"/>
        </w:rPr>
        <w:t>Challenge Exam Procedure</w:t>
      </w:r>
    </w:p>
    <w:p w14:paraId="24EFDFD5" w14:textId="77777777" w:rsidR="00D81755" w:rsidRDefault="0073296A">
      <w:pPr>
        <w:numPr>
          <w:ilvl w:val="0"/>
          <w:numId w:val="3"/>
        </w:numPr>
        <w:rPr>
          <w:sz w:val="20"/>
          <w:szCs w:val="20"/>
        </w:rPr>
      </w:pPr>
      <w:r>
        <w:rPr>
          <w:sz w:val="20"/>
          <w:szCs w:val="20"/>
        </w:rPr>
        <w:t>The student completes the student section of the Challenge Exam Application and provides the application to the Associate Director for Student and Academic Affairs.</w:t>
      </w:r>
    </w:p>
    <w:p w14:paraId="24EFDFD6" w14:textId="77777777" w:rsidR="00D81755" w:rsidRDefault="0073296A">
      <w:pPr>
        <w:numPr>
          <w:ilvl w:val="0"/>
          <w:numId w:val="3"/>
        </w:numPr>
        <w:rPr>
          <w:sz w:val="20"/>
          <w:szCs w:val="20"/>
        </w:rPr>
      </w:pPr>
      <w:r>
        <w:rPr>
          <w:sz w:val="20"/>
          <w:szCs w:val="20"/>
        </w:rPr>
        <w:t>The Associate Director for Student and Academic Affairs validates eligibility to challenge.  This may require the student to provide a transcript and/or course syllabus for review.</w:t>
      </w:r>
    </w:p>
    <w:p w14:paraId="24EFDFD7" w14:textId="77777777" w:rsidR="00D81755" w:rsidRDefault="0073296A">
      <w:pPr>
        <w:numPr>
          <w:ilvl w:val="0"/>
          <w:numId w:val="3"/>
        </w:numPr>
        <w:rPr>
          <w:sz w:val="20"/>
          <w:szCs w:val="20"/>
        </w:rPr>
      </w:pPr>
      <w:r>
        <w:rPr>
          <w:sz w:val="20"/>
          <w:szCs w:val="20"/>
        </w:rPr>
        <w:t xml:space="preserve">If approved, the student brings the </w:t>
      </w:r>
      <w:proofErr w:type="gramStart"/>
      <w:r>
        <w:rPr>
          <w:sz w:val="20"/>
          <w:szCs w:val="20"/>
        </w:rPr>
        <w:t>completed</w:t>
      </w:r>
      <w:proofErr w:type="gramEnd"/>
      <w:r>
        <w:rPr>
          <w:sz w:val="20"/>
          <w:szCs w:val="20"/>
        </w:rPr>
        <w:t xml:space="preserve"> Challenge Exam Application with a check for payment to the Bursar’s Office.</w:t>
      </w:r>
    </w:p>
    <w:p w14:paraId="24EFDFD8" w14:textId="77777777" w:rsidR="00D81755" w:rsidRDefault="0073296A">
      <w:pPr>
        <w:numPr>
          <w:ilvl w:val="0"/>
          <w:numId w:val="3"/>
        </w:numPr>
        <w:rPr>
          <w:sz w:val="20"/>
          <w:szCs w:val="20"/>
        </w:rPr>
      </w:pPr>
      <w:r>
        <w:rPr>
          <w:sz w:val="20"/>
          <w:szCs w:val="20"/>
        </w:rPr>
        <w:t>Checks are made payable to “SUNY Stony Brook.”  The cost is $65 per graduate credit.</w:t>
      </w:r>
    </w:p>
    <w:p w14:paraId="24EFDFD9" w14:textId="77777777" w:rsidR="00D81755" w:rsidRDefault="0073296A">
      <w:pPr>
        <w:numPr>
          <w:ilvl w:val="0"/>
          <w:numId w:val="3"/>
        </w:numPr>
        <w:rPr>
          <w:sz w:val="20"/>
          <w:szCs w:val="20"/>
        </w:rPr>
      </w:pPr>
      <w:r>
        <w:rPr>
          <w:sz w:val="20"/>
          <w:szCs w:val="20"/>
        </w:rPr>
        <w:t>The student returns the completed Challenge Exam Application with a copy of the Bursar’s Office receipt attached to the Associate Director for Student and Academic Affairs.</w:t>
      </w:r>
    </w:p>
    <w:p w14:paraId="24EFDFDA" w14:textId="77777777" w:rsidR="00D81755" w:rsidRDefault="0073296A">
      <w:pPr>
        <w:numPr>
          <w:ilvl w:val="0"/>
          <w:numId w:val="3"/>
        </w:numPr>
        <w:rPr>
          <w:sz w:val="20"/>
          <w:szCs w:val="20"/>
        </w:rPr>
      </w:pPr>
      <w:r>
        <w:rPr>
          <w:sz w:val="20"/>
          <w:szCs w:val="20"/>
        </w:rPr>
        <w:t>The student schedules an appointment with the Course Instructor responsible for the Challenge Exam to discuss the exam requirements.</w:t>
      </w:r>
    </w:p>
    <w:p w14:paraId="24EFDFDB" w14:textId="77777777" w:rsidR="00D81755" w:rsidRDefault="0073296A">
      <w:pPr>
        <w:numPr>
          <w:ilvl w:val="0"/>
          <w:numId w:val="3"/>
        </w:numPr>
        <w:rPr>
          <w:sz w:val="20"/>
          <w:szCs w:val="20"/>
        </w:rPr>
      </w:pPr>
      <w:r>
        <w:rPr>
          <w:sz w:val="20"/>
          <w:szCs w:val="20"/>
        </w:rPr>
        <w:t xml:space="preserve">When the Challenge Exam is </w:t>
      </w:r>
      <w:proofErr w:type="gramStart"/>
      <w:r>
        <w:rPr>
          <w:sz w:val="20"/>
          <w:szCs w:val="20"/>
        </w:rPr>
        <w:t>complete</w:t>
      </w:r>
      <w:proofErr w:type="gramEnd"/>
      <w:r>
        <w:rPr>
          <w:sz w:val="20"/>
          <w:szCs w:val="20"/>
        </w:rPr>
        <w:t xml:space="preserve"> and graded, the faculty member administering the exam submits a letter to the Associate Director for Student and Academic Affairs indicating the grade received.</w:t>
      </w:r>
    </w:p>
    <w:p w14:paraId="24EFDFDC" w14:textId="77777777" w:rsidR="00D81755" w:rsidRDefault="0073296A">
      <w:pPr>
        <w:numPr>
          <w:ilvl w:val="0"/>
          <w:numId w:val="3"/>
        </w:numPr>
        <w:rPr>
          <w:sz w:val="20"/>
          <w:szCs w:val="20"/>
        </w:rPr>
      </w:pPr>
      <w:r>
        <w:rPr>
          <w:sz w:val="20"/>
          <w:szCs w:val="20"/>
        </w:rPr>
        <w:t>The Associate Director for Student and Academic Affairs forwards a copy of the faculty letter, Challenge Exam Application, and Bursar’s Office receipt to the HSC Office of Student Services, which posts the grade to the transcript.</w:t>
      </w:r>
    </w:p>
    <w:p w14:paraId="24EFDFDD" w14:textId="77777777" w:rsidR="00D81755" w:rsidRDefault="0073296A">
      <w:pPr>
        <w:rPr>
          <w:b/>
          <w:bCs/>
          <w:smallCaps/>
          <w:sz w:val="20"/>
          <w:szCs w:val="20"/>
        </w:rPr>
      </w:pPr>
      <w:r>
        <w:rPr>
          <w:b/>
          <w:bCs/>
          <w:sz w:val="20"/>
          <w:szCs w:val="20"/>
        </w:rPr>
        <w:t>Special Note:</w:t>
      </w:r>
      <w:r>
        <w:rPr>
          <w:sz w:val="20"/>
          <w:szCs w:val="20"/>
        </w:rPr>
        <w:t xml:space="preserve"> Any student who receives the MD/MPH waiver does not have to pay for the credits at the Bursar. However, all paperwork must be received prior to taking a Challenge Exam.</w:t>
      </w:r>
    </w:p>
    <w:p w14:paraId="24EFDFDE" w14:textId="77777777" w:rsidR="00D81755" w:rsidRDefault="0073296A">
      <w:pPr>
        <w:pStyle w:val="Heading2"/>
      </w:pPr>
      <w:bookmarkStart w:id="67" w:name="_heading=h.ei16hlf9huk1" w:colFirst="0" w:colLast="0"/>
      <w:bookmarkEnd w:id="67"/>
      <w:r>
        <w:t>TIME LIMITS</w:t>
      </w:r>
    </w:p>
    <w:p w14:paraId="24EFDFDF" w14:textId="77777777" w:rsidR="00D81755" w:rsidRDefault="0073296A">
      <w:pPr>
        <w:jc w:val="both"/>
        <w:rPr>
          <w:color w:val="000000"/>
          <w:sz w:val="20"/>
          <w:szCs w:val="20"/>
        </w:rPr>
      </w:pPr>
      <w:r>
        <w:rPr>
          <w:color w:val="000000"/>
          <w:sz w:val="20"/>
          <w:szCs w:val="20"/>
        </w:rPr>
        <w:t>Not including granted leaves of absence, all requirements towards the MHA degree, MSECR degree, MPH degree, the BS/MPH degree, the MBA/MPH degree, the MPH/MAPP degree, MSW/MPH degree, MPH/MS in Nutrition degree, and the MHA degree must be completed within five years from matriculation in the Program.  The MD/MPH joint degree and the DDS/MPH concurrent degrees can take six years.</w:t>
      </w:r>
    </w:p>
    <w:p w14:paraId="24EFDFE0" w14:textId="77777777" w:rsidR="00D81755" w:rsidRDefault="00D81755">
      <w:pPr>
        <w:jc w:val="both"/>
        <w:rPr>
          <w:color w:val="000000"/>
          <w:sz w:val="20"/>
          <w:szCs w:val="20"/>
        </w:rPr>
      </w:pPr>
    </w:p>
    <w:p w14:paraId="24EFDFE1" w14:textId="77777777" w:rsidR="00D81755" w:rsidRDefault="0073296A">
      <w:pPr>
        <w:rPr>
          <w:sz w:val="20"/>
          <w:szCs w:val="20"/>
        </w:rPr>
      </w:pPr>
      <w:r>
        <w:rPr>
          <w:sz w:val="20"/>
          <w:szCs w:val="20"/>
        </w:rPr>
        <w:t>The time limit for a doctoral degree is seven years for a student who has a closely related previous graduate degree or 24 credits of graduate study in such a degree program. For all other students, the time limit for a doctoral degree is seven years after completion of 24 graduate level credits at Stony Brook University.</w:t>
      </w:r>
    </w:p>
    <w:p w14:paraId="24EFDFE2" w14:textId="77777777" w:rsidR="00D81755" w:rsidRDefault="0073296A">
      <w:pPr>
        <w:pStyle w:val="Heading2"/>
      </w:pPr>
      <w:bookmarkStart w:id="68" w:name="_heading=h.lryu26pcpidj" w:colFirst="0" w:colLast="0"/>
      <w:bookmarkEnd w:id="68"/>
      <w:r>
        <w:t>GRADUATION</w:t>
      </w:r>
    </w:p>
    <w:p w14:paraId="24EFDFE3" w14:textId="77777777" w:rsidR="00D81755" w:rsidRDefault="0073296A">
      <w:pPr>
        <w:jc w:val="both"/>
        <w:rPr>
          <w:color w:val="000000"/>
          <w:sz w:val="20"/>
          <w:szCs w:val="20"/>
        </w:rPr>
      </w:pPr>
      <w:r>
        <w:rPr>
          <w:color w:val="000000"/>
          <w:sz w:val="20"/>
          <w:szCs w:val="20"/>
        </w:rPr>
        <w:t xml:space="preserve">The PPH has only one graduation ceremony (convocation), which is held each year in the Spring.  This ceremony serves all students who graduate from the Program during the year.  </w:t>
      </w:r>
    </w:p>
    <w:p w14:paraId="24EFDFE4" w14:textId="77777777" w:rsidR="00D81755" w:rsidRDefault="00D81755">
      <w:pPr>
        <w:jc w:val="both"/>
        <w:rPr>
          <w:color w:val="000000"/>
          <w:sz w:val="20"/>
          <w:szCs w:val="20"/>
        </w:rPr>
      </w:pPr>
    </w:p>
    <w:p w14:paraId="24EFDFE5" w14:textId="77777777" w:rsidR="00D81755" w:rsidRDefault="0073296A">
      <w:pPr>
        <w:jc w:val="both"/>
        <w:rPr>
          <w:color w:val="000000"/>
          <w:sz w:val="20"/>
          <w:szCs w:val="20"/>
        </w:rPr>
      </w:pPr>
      <w:r>
        <w:rPr>
          <w:color w:val="000000"/>
          <w:sz w:val="20"/>
          <w:szCs w:val="20"/>
        </w:rPr>
        <w:t xml:space="preserve">MPH and MHA students: It is the responsibility of students to notify the University through SOLAR of their intent to graduate. </w:t>
      </w:r>
    </w:p>
    <w:p w14:paraId="24EFDFE6" w14:textId="77777777" w:rsidR="00D81755" w:rsidRDefault="0073296A">
      <w:pPr>
        <w:jc w:val="both"/>
        <w:rPr>
          <w:color w:val="000000"/>
          <w:sz w:val="20"/>
          <w:szCs w:val="20"/>
        </w:rPr>
      </w:pPr>
      <w:r>
        <w:rPr>
          <w:color w:val="000000"/>
          <w:sz w:val="20"/>
          <w:szCs w:val="20"/>
        </w:rPr>
        <w:t>In addition, students should be tracking their academic progress to ensure that they are meeting all University and Program requirements for graduation.</w:t>
      </w:r>
    </w:p>
    <w:p w14:paraId="24EFDFE7" w14:textId="77777777" w:rsidR="00D81755" w:rsidRDefault="00D81755">
      <w:pPr>
        <w:jc w:val="both"/>
        <w:rPr>
          <w:color w:val="000000"/>
          <w:sz w:val="20"/>
          <w:szCs w:val="20"/>
        </w:rPr>
      </w:pPr>
    </w:p>
    <w:p w14:paraId="24EFDFE9" w14:textId="5B3BE383" w:rsidR="00D81755" w:rsidRDefault="0073296A" w:rsidP="004F0AB9">
      <w:r>
        <w:rPr>
          <w:color w:val="000000"/>
          <w:sz w:val="20"/>
          <w:szCs w:val="20"/>
        </w:rPr>
        <w:t xml:space="preserve">PhD students: PhD students are responsible for meeting all degree requirements outlined by the program and by the Graduate School.  For information regarding the graduation process for PhD candidates visit </w:t>
      </w:r>
      <w:hyperlink r:id="rId48" w:history="1">
        <w:r w:rsidR="004F0AB9" w:rsidRPr="004F0AB9">
          <w:rPr>
            <w:rStyle w:val="Hyperlink"/>
            <w:sz w:val="20"/>
            <w:szCs w:val="20"/>
          </w:rPr>
          <w:t>Graduate School</w:t>
        </w:r>
      </w:hyperlink>
      <w:r w:rsidR="004F0AB9">
        <w:rPr>
          <w:color w:val="000000"/>
          <w:sz w:val="20"/>
          <w:szCs w:val="20"/>
        </w:rPr>
        <w:t xml:space="preserve"> website. </w:t>
      </w:r>
    </w:p>
    <w:p w14:paraId="24EFDFEA" w14:textId="77777777" w:rsidR="00D81755" w:rsidRDefault="0073296A">
      <w:pPr>
        <w:pStyle w:val="Heading2"/>
      </w:pPr>
      <w:bookmarkStart w:id="69" w:name="_heading=h.47j3lggn1u2j" w:colFirst="0" w:colLast="0"/>
      <w:bookmarkEnd w:id="69"/>
      <w:r>
        <w:t>GENERAL INQUIRIES</w:t>
      </w:r>
    </w:p>
    <w:p w14:paraId="24EFDFEB" w14:textId="77777777" w:rsidR="00D81755" w:rsidRDefault="0073296A">
      <w:pPr>
        <w:jc w:val="both"/>
        <w:rPr>
          <w:sz w:val="20"/>
          <w:szCs w:val="20"/>
        </w:rPr>
      </w:pPr>
      <w:r>
        <w:rPr>
          <w:sz w:val="20"/>
          <w:szCs w:val="20"/>
        </w:rPr>
        <w:t xml:space="preserve">Questions and concerns about course offerings, plans of study, degree requirements, deadlines, practicum requirements, and procedural issues including registration, academic standing, leaves of absence, change of concentration, and graduation should be directed to the Associate Director for Student and Academic Affairs (444-2074). </w:t>
      </w:r>
    </w:p>
    <w:p w14:paraId="24EFDFEC" w14:textId="77777777" w:rsidR="00D81755" w:rsidRDefault="00D81755">
      <w:pPr>
        <w:jc w:val="both"/>
        <w:rPr>
          <w:sz w:val="20"/>
          <w:szCs w:val="20"/>
        </w:rPr>
      </w:pPr>
    </w:p>
    <w:p w14:paraId="24EFDFED" w14:textId="77777777" w:rsidR="00D81755" w:rsidRDefault="0073296A">
      <w:pPr>
        <w:jc w:val="both"/>
        <w:rPr>
          <w:sz w:val="20"/>
          <w:szCs w:val="20"/>
        </w:rPr>
      </w:pPr>
      <w:r>
        <w:rPr>
          <w:sz w:val="20"/>
          <w:szCs w:val="20"/>
        </w:rPr>
        <w:t xml:space="preserve">Questions about classroom assignments, </w:t>
      </w:r>
      <w:proofErr w:type="gramStart"/>
      <w:r>
        <w:rPr>
          <w:sz w:val="20"/>
          <w:szCs w:val="20"/>
        </w:rPr>
        <w:t>text books</w:t>
      </w:r>
      <w:proofErr w:type="gramEnd"/>
      <w:r>
        <w:rPr>
          <w:sz w:val="20"/>
          <w:szCs w:val="20"/>
        </w:rPr>
        <w:t>, and class schedules should be directed to the Assistant to the Director/Administrative Coordinator (444-9396) or by sending an email to publichealth@stonybrookmedidince.edu. Questions related to student employment, research assistantships, scholarships, and other matters related to finance, should be directed to the Assistant to the Director for Administration and Finance (444-1120).</w:t>
      </w:r>
    </w:p>
    <w:p w14:paraId="24EFDFEE" w14:textId="77777777" w:rsidR="00D81755" w:rsidRDefault="00D81755">
      <w:pPr>
        <w:jc w:val="both"/>
        <w:rPr>
          <w:b/>
          <w:bCs/>
          <w:color w:val="000000"/>
          <w:sz w:val="20"/>
          <w:szCs w:val="20"/>
        </w:rPr>
      </w:pPr>
    </w:p>
    <w:p w14:paraId="24EFDFEF" w14:textId="77777777" w:rsidR="00D81755" w:rsidRDefault="0073296A">
      <w:pPr>
        <w:pBdr>
          <w:top w:val="nil"/>
          <w:left w:val="nil"/>
          <w:bottom w:val="nil"/>
          <w:right w:val="nil"/>
          <w:between w:val="nil"/>
        </w:pBdr>
        <w:rPr>
          <w:color w:val="000000"/>
          <w:sz w:val="20"/>
          <w:szCs w:val="20"/>
        </w:rPr>
      </w:pPr>
      <w:r>
        <w:rPr>
          <w:color w:val="000000"/>
          <w:sz w:val="20"/>
          <w:szCs w:val="20"/>
        </w:rPr>
        <w:t xml:space="preserve">All course specific concerns should first be directed to the instructor as appropriate, and if not resolved to the satisfaction of the student, the concerns should be brought to the attention of the appropriate degree program Director (for the MPH, to Dr. Smith; for the MHA, to Dr. </w:t>
      </w:r>
      <w:proofErr w:type="gramStart"/>
      <w:r>
        <w:rPr>
          <w:sz w:val="20"/>
          <w:szCs w:val="20"/>
        </w:rPr>
        <w:t xml:space="preserve">Tomaszewski </w:t>
      </w:r>
      <w:r>
        <w:rPr>
          <w:color w:val="000000"/>
          <w:sz w:val="20"/>
          <w:szCs w:val="20"/>
        </w:rPr>
        <w:t>;</w:t>
      </w:r>
      <w:proofErr w:type="gramEnd"/>
      <w:r>
        <w:rPr>
          <w:color w:val="000000"/>
          <w:sz w:val="20"/>
          <w:szCs w:val="20"/>
        </w:rPr>
        <w:t xml:space="preserve"> for the PhD, to Dr. </w:t>
      </w:r>
      <w:r>
        <w:rPr>
          <w:sz w:val="20"/>
          <w:szCs w:val="20"/>
        </w:rPr>
        <w:t>Kidman</w:t>
      </w:r>
      <w:r>
        <w:rPr>
          <w:color w:val="000000"/>
          <w:sz w:val="20"/>
          <w:szCs w:val="20"/>
        </w:rPr>
        <w:t xml:space="preserve">). </w:t>
      </w:r>
    </w:p>
    <w:p w14:paraId="24EFDFF0" w14:textId="77777777" w:rsidR="00D81755" w:rsidRDefault="0073296A">
      <w:pPr>
        <w:spacing w:before="240"/>
        <w:rPr>
          <w:b/>
          <w:bCs/>
          <w:sz w:val="20"/>
          <w:szCs w:val="20"/>
        </w:rPr>
      </w:pPr>
      <w:r>
        <w:rPr>
          <w:b/>
          <w:bCs/>
          <w:sz w:val="20"/>
          <w:szCs w:val="20"/>
        </w:rPr>
        <w:lastRenderedPageBreak/>
        <w:t>ACADEMIC INTEGRITY AND GRIEVANCE POLICY</w:t>
      </w:r>
      <w:r>
        <w:rPr>
          <w:sz w:val="20"/>
          <w:szCs w:val="20"/>
        </w:rPr>
        <w:br/>
      </w:r>
      <w:r>
        <w:rPr>
          <w:sz w:val="20"/>
          <w:szCs w:val="20"/>
        </w:rPr>
        <w:br/>
      </w:r>
      <w:r>
        <w:rPr>
          <w:b/>
          <w:bCs/>
          <w:sz w:val="20"/>
          <w:szCs w:val="20"/>
        </w:rPr>
        <w:t>I. INTRODUCTION</w:t>
      </w:r>
    </w:p>
    <w:p w14:paraId="24EFDFF1" w14:textId="77777777" w:rsidR="00D81755" w:rsidRDefault="0073296A">
      <w:pPr>
        <w:spacing w:before="60" w:after="100"/>
        <w:rPr>
          <w:sz w:val="20"/>
          <w:szCs w:val="20"/>
        </w:rPr>
      </w:pPr>
      <w:r>
        <w:rPr>
          <w:sz w:val="20"/>
          <w:szCs w:val="20"/>
        </w:rPr>
        <w:t>The Program in Public Health (PPH) at Stony Brook University is committed to the highest standards of academic integrity, professionalism and ethical scholarship. Intellectual honesty is the cornerstone of all academic, professional, and public health practice. The PPH views any form of academic dishonesty as a serious matter that undermines both the student's professional development and the public health mission of the program.</w:t>
      </w:r>
    </w:p>
    <w:p w14:paraId="24EFDFF2" w14:textId="77777777" w:rsidR="00D81755" w:rsidRDefault="0073296A">
      <w:pPr>
        <w:spacing w:before="60" w:after="100"/>
        <w:rPr>
          <w:sz w:val="20"/>
          <w:szCs w:val="20"/>
        </w:rPr>
      </w:pPr>
      <w:r>
        <w:rPr>
          <w:sz w:val="20"/>
          <w:szCs w:val="20"/>
        </w:rPr>
        <w:t>This policy governs all students enrolled in PPH degree programs and courses. It applies to all academic work, including examinations, papers, presentations, capstone projects, fieldwork, and any assignments submitted for academic credit. This policy is intended to be clear, fair, and consistently applied, and should be read in conjunction with the Stony Brook University Academic Judiciary policies and the PPH Student Bulletin.</w:t>
      </w:r>
    </w:p>
    <w:p w14:paraId="24EFDFF3" w14:textId="77777777" w:rsidR="00D81755" w:rsidRDefault="0073296A">
      <w:pPr>
        <w:spacing w:before="60" w:after="100"/>
        <w:rPr>
          <w:sz w:val="20"/>
          <w:szCs w:val="20"/>
        </w:rPr>
      </w:pPr>
      <w:r>
        <w:rPr>
          <w:sz w:val="20"/>
          <w:szCs w:val="20"/>
        </w:rPr>
        <w:t xml:space="preserve">Students are expected to familiarize themselves with this policy at the time of enrollment. During Orientation, all students review and sign a statement affirming their understanding of and commitment to the academic integrity standards set forth herein. Ignorance of this policy does not excuse </w:t>
      </w:r>
      <w:proofErr w:type="gramStart"/>
      <w:r>
        <w:rPr>
          <w:sz w:val="20"/>
          <w:szCs w:val="20"/>
        </w:rPr>
        <w:t>a violation</w:t>
      </w:r>
      <w:proofErr w:type="gramEnd"/>
      <w:r>
        <w:rPr>
          <w:sz w:val="20"/>
          <w:szCs w:val="20"/>
        </w:rPr>
        <w:t>.</w:t>
      </w:r>
    </w:p>
    <w:p w14:paraId="24EFDFF4" w14:textId="77777777" w:rsidR="00D81755" w:rsidRDefault="0073296A">
      <w:pPr>
        <w:pStyle w:val="Heading1"/>
        <w:keepNext w:val="0"/>
        <w:spacing w:before="480" w:after="120"/>
        <w:rPr>
          <w:sz w:val="20"/>
          <w:szCs w:val="20"/>
        </w:rPr>
      </w:pPr>
      <w:bookmarkStart w:id="70" w:name="_heading=h.icfvhaeebv4" w:colFirst="0" w:colLast="0"/>
      <w:bookmarkEnd w:id="70"/>
      <w:r>
        <w:rPr>
          <w:sz w:val="20"/>
          <w:szCs w:val="20"/>
        </w:rPr>
        <w:t>II. DEFINITIONS</w:t>
      </w:r>
    </w:p>
    <w:p w14:paraId="24EFDFF5" w14:textId="77777777" w:rsidR="00D81755" w:rsidRDefault="0073296A">
      <w:pPr>
        <w:spacing w:before="60" w:after="100"/>
        <w:rPr>
          <w:sz w:val="20"/>
          <w:szCs w:val="20"/>
        </w:rPr>
      </w:pPr>
      <w:r>
        <w:rPr>
          <w:sz w:val="20"/>
          <w:szCs w:val="20"/>
        </w:rPr>
        <w:t>The PPH distinguishes among four categories of academic integrity violations. These distinctions are essential to ensure that sanctions are proportionate to the nature and severity of each offense.</w:t>
      </w:r>
    </w:p>
    <w:p w14:paraId="24EFDFF6" w14:textId="77777777" w:rsidR="00D81755" w:rsidRDefault="0073296A">
      <w:pPr>
        <w:spacing w:before="80" w:after="80"/>
      </w:pPr>
      <w:r>
        <w:t>A. Cheating</w:t>
      </w:r>
    </w:p>
    <w:p w14:paraId="24EFDFF7" w14:textId="77777777" w:rsidR="00D81755" w:rsidRDefault="0073296A">
      <w:pPr>
        <w:spacing w:before="60" w:after="100"/>
        <w:rPr>
          <w:sz w:val="20"/>
          <w:szCs w:val="20"/>
        </w:rPr>
      </w:pPr>
      <w:r>
        <w:rPr>
          <w:sz w:val="20"/>
          <w:szCs w:val="20"/>
        </w:rPr>
        <w:t>Cheating is the intentional use of unauthorized assistance, materials, information, or study aids to gain an unfair academic advantage. Cheating includes, but is not limited to:</w:t>
      </w:r>
    </w:p>
    <w:p w14:paraId="24EFDFF8" w14:textId="77777777" w:rsidR="00D81755" w:rsidRDefault="0073296A">
      <w:pPr>
        <w:spacing w:before="40" w:after="40"/>
        <w:ind w:left="720"/>
        <w:rPr>
          <w:sz w:val="20"/>
          <w:szCs w:val="20"/>
        </w:rPr>
      </w:pPr>
      <w:r>
        <w:rPr>
          <w:sz w:val="20"/>
          <w:szCs w:val="20"/>
        </w:rPr>
        <w:t>•       Copying from another student’s examination, quiz, or assignment.</w:t>
      </w:r>
    </w:p>
    <w:p w14:paraId="24EFDFF9" w14:textId="77777777" w:rsidR="00D81755" w:rsidRDefault="0073296A">
      <w:pPr>
        <w:spacing w:before="40" w:after="40"/>
        <w:ind w:left="720"/>
        <w:rPr>
          <w:sz w:val="20"/>
          <w:szCs w:val="20"/>
        </w:rPr>
      </w:pPr>
      <w:r>
        <w:rPr>
          <w:sz w:val="20"/>
          <w:szCs w:val="20"/>
        </w:rPr>
        <w:t>•       Allowing another student to copy from your examination, quiz, or assignment.</w:t>
      </w:r>
    </w:p>
    <w:p w14:paraId="24EFDFFA" w14:textId="60491DCC" w:rsidR="00D81755" w:rsidRDefault="0073296A">
      <w:pPr>
        <w:spacing w:before="40" w:after="40"/>
        <w:ind w:left="720"/>
        <w:rPr>
          <w:sz w:val="20"/>
          <w:szCs w:val="20"/>
        </w:rPr>
      </w:pPr>
      <w:r>
        <w:rPr>
          <w:sz w:val="20"/>
          <w:szCs w:val="20"/>
        </w:rPr>
        <w:t xml:space="preserve">•       Unauthorized sharing of information from one’s notes, electronic devices, or any unpermitted reference materials during an </w:t>
      </w:r>
      <w:r w:rsidR="002D4442">
        <w:rPr>
          <w:sz w:val="20"/>
          <w:szCs w:val="20"/>
        </w:rPr>
        <w:t>examination, quiz</w:t>
      </w:r>
      <w:r>
        <w:rPr>
          <w:sz w:val="20"/>
          <w:szCs w:val="20"/>
        </w:rPr>
        <w:t xml:space="preserve"> or assignment</w:t>
      </w:r>
    </w:p>
    <w:p w14:paraId="24EFDFFB" w14:textId="77777777" w:rsidR="00D81755" w:rsidRDefault="0073296A">
      <w:pPr>
        <w:spacing w:before="40" w:after="40"/>
        <w:ind w:left="720"/>
        <w:rPr>
          <w:sz w:val="20"/>
          <w:szCs w:val="20"/>
        </w:rPr>
      </w:pPr>
      <w:r>
        <w:rPr>
          <w:sz w:val="20"/>
          <w:szCs w:val="20"/>
        </w:rPr>
        <w:t>•       Transmitting examination content (verbally, electronically, or otherwise) to students who have not yet completed the assessment.</w:t>
      </w:r>
    </w:p>
    <w:p w14:paraId="24EFDFFC" w14:textId="77777777" w:rsidR="00D81755" w:rsidRDefault="0073296A">
      <w:pPr>
        <w:spacing w:before="40" w:after="40"/>
        <w:ind w:left="720"/>
        <w:rPr>
          <w:sz w:val="20"/>
          <w:szCs w:val="20"/>
        </w:rPr>
      </w:pPr>
      <w:r>
        <w:rPr>
          <w:sz w:val="20"/>
          <w:szCs w:val="20"/>
        </w:rPr>
        <w:t xml:space="preserve">•       Completing or submitting work for another student or having another person complete or </w:t>
      </w:r>
      <w:proofErr w:type="gramStart"/>
      <w:r>
        <w:rPr>
          <w:sz w:val="20"/>
          <w:szCs w:val="20"/>
        </w:rPr>
        <w:t>submit</w:t>
      </w:r>
      <w:proofErr w:type="gramEnd"/>
      <w:r>
        <w:rPr>
          <w:sz w:val="20"/>
          <w:szCs w:val="20"/>
        </w:rPr>
        <w:t xml:space="preserve"> work on your behalf.</w:t>
      </w:r>
    </w:p>
    <w:p w14:paraId="24EFDFFD" w14:textId="77777777" w:rsidR="00D81755" w:rsidRDefault="0073296A">
      <w:pPr>
        <w:spacing w:before="40" w:after="40"/>
        <w:ind w:left="720"/>
        <w:rPr>
          <w:sz w:val="20"/>
          <w:szCs w:val="20"/>
        </w:rPr>
      </w:pPr>
      <w:r>
        <w:rPr>
          <w:sz w:val="20"/>
          <w:szCs w:val="20"/>
        </w:rPr>
        <w:t>•       Using unauthorized assistance on a take-home examination or assignment (e.g., collaborating with peers when the instructor has not explicitly authorized it, or using reference works when prohibited).</w:t>
      </w:r>
    </w:p>
    <w:p w14:paraId="24EFDFFE" w14:textId="77777777" w:rsidR="00D81755" w:rsidRDefault="0073296A">
      <w:pPr>
        <w:spacing w:before="40" w:after="40"/>
        <w:ind w:left="720"/>
        <w:rPr>
          <w:sz w:val="20"/>
          <w:szCs w:val="20"/>
        </w:rPr>
      </w:pPr>
      <w:r>
        <w:rPr>
          <w:sz w:val="20"/>
          <w:szCs w:val="20"/>
        </w:rPr>
        <w:t>•       Misrepresenting clinical hours, fieldwork documentation, or practicum activities.</w:t>
      </w:r>
    </w:p>
    <w:p w14:paraId="24EFDFFF" w14:textId="77777777" w:rsidR="00D81755" w:rsidRPr="0001540C" w:rsidRDefault="0073296A">
      <w:pPr>
        <w:spacing w:before="80" w:after="80"/>
      </w:pPr>
      <w:r>
        <w:rPr>
          <w:sz w:val="20"/>
          <w:szCs w:val="20"/>
          <w:highlight w:val="yellow"/>
        </w:rPr>
        <w:t xml:space="preserve"> </w:t>
      </w:r>
      <w:r>
        <w:rPr>
          <w:sz w:val="20"/>
          <w:szCs w:val="20"/>
          <w:highlight w:val="yellow"/>
        </w:rPr>
        <w:br/>
      </w:r>
      <w:r w:rsidRPr="0001540C">
        <w:t>B. Plagiarism</w:t>
      </w:r>
    </w:p>
    <w:p w14:paraId="24EFE000" w14:textId="77777777" w:rsidR="00D81755" w:rsidRPr="0001540C" w:rsidRDefault="0073296A">
      <w:pPr>
        <w:spacing w:before="60" w:after="100"/>
        <w:rPr>
          <w:sz w:val="20"/>
          <w:szCs w:val="20"/>
        </w:rPr>
      </w:pPr>
      <w:r w:rsidRPr="0001540C">
        <w:rPr>
          <w:sz w:val="20"/>
          <w:szCs w:val="20"/>
        </w:rPr>
        <w:t>Plagiarism occurs when a student misrepresents the work, ideas, language, or data of another person or source as their own, without appropriate attribution. Plagiarism includes, but is not limited to:</w:t>
      </w:r>
    </w:p>
    <w:p w14:paraId="24EFE001" w14:textId="77777777" w:rsidR="00D81755" w:rsidRPr="0001540C" w:rsidRDefault="0073296A">
      <w:pPr>
        <w:spacing w:before="40" w:after="40"/>
        <w:ind w:left="720"/>
        <w:rPr>
          <w:sz w:val="20"/>
          <w:szCs w:val="20"/>
        </w:rPr>
      </w:pPr>
      <w:r w:rsidRPr="0001540C">
        <w:rPr>
          <w:sz w:val="20"/>
          <w:szCs w:val="20"/>
        </w:rPr>
        <w:t>•       Downloading all or part of a paper, report, or other work product from any source (including the internet, artificial intelligence tools, or databases) and submitting it as one’s own work without attribution.</w:t>
      </w:r>
    </w:p>
    <w:p w14:paraId="24EFE002" w14:textId="77777777" w:rsidR="00D81755" w:rsidRPr="0001540C" w:rsidRDefault="0073296A">
      <w:pPr>
        <w:spacing w:before="40" w:after="40"/>
        <w:ind w:left="720"/>
        <w:rPr>
          <w:sz w:val="20"/>
          <w:szCs w:val="20"/>
        </w:rPr>
      </w:pPr>
      <w:r w:rsidRPr="0001540C">
        <w:rPr>
          <w:sz w:val="20"/>
          <w:szCs w:val="20"/>
        </w:rPr>
        <w:t>•       Copying sentences, paragraphs, data, or other content from any source without proper citation and, where appropriate, quotation marks.</w:t>
      </w:r>
    </w:p>
    <w:p w14:paraId="24EFE003" w14:textId="77777777" w:rsidR="00D81755" w:rsidRPr="0001540C" w:rsidRDefault="0073296A">
      <w:pPr>
        <w:spacing w:before="40" w:after="40"/>
        <w:ind w:left="720"/>
        <w:rPr>
          <w:sz w:val="20"/>
          <w:szCs w:val="20"/>
        </w:rPr>
      </w:pPr>
      <w:r w:rsidRPr="0001540C">
        <w:rPr>
          <w:sz w:val="20"/>
          <w:szCs w:val="20"/>
        </w:rPr>
        <w:t>•       Submitting work that is authored in whole or in part by another source as one’s own.</w:t>
      </w:r>
    </w:p>
    <w:p w14:paraId="24EFE004" w14:textId="77777777" w:rsidR="00D81755" w:rsidRPr="0001540C" w:rsidRDefault="0073296A">
      <w:pPr>
        <w:spacing w:before="40" w:after="40"/>
        <w:ind w:left="720"/>
        <w:rPr>
          <w:sz w:val="20"/>
          <w:szCs w:val="20"/>
        </w:rPr>
      </w:pPr>
      <w:r w:rsidRPr="0001540C">
        <w:rPr>
          <w:sz w:val="20"/>
          <w:szCs w:val="20"/>
        </w:rPr>
        <w:t>•       Paraphrasing another’s work so closely that the original language is retained without attribution.</w:t>
      </w:r>
    </w:p>
    <w:p w14:paraId="24EFE005" w14:textId="77777777" w:rsidR="00D81755" w:rsidRPr="0001540C" w:rsidRDefault="0073296A">
      <w:pPr>
        <w:spacing w:before="40" w:after="40"/>
        <w:ind w:left="720"/>
        <w:rPr>
          <w:sz w:val="20"/>
          <w:szCs w:val="20"/>
        </w:rPr>
      </w:pPr>
      <w:r w:rsidRPr="0001540C">
        <w:rPr>
          <w:sz w:val="20"/>
          <w:szCs w:val="20"/>
        </w:rPr>
        <w:t>•       Using artificial intelligence (AI) tools (e.g., ChatGPT, Gemini, Claude, or similar platforms) to generate, substantially draft, or revise any portion of academic work without explicit instructor authorization in the course syllabus or assignment instructions. Unauthorized AI use constitutes academic dishonesty because such work does not represent the student’s own intellectual effort.</w:t>
      </w:r>
    </w:p>
    <w:p w14:paraId="24EFE006" w14:textId="77777777" w:rsidR="00D81755" w:rsidRPr="0001540C" w:rsidRDefault="0073296A">
      <w:pPr>
        <w:spacing w:before="40" w:after="40"/>
        <w:ind w:left="720"/>
        <w:rPr>
          <w:sz w:val="20"/>
          <w:szCs w:val="20"/>
        </w:rPr>
      </w:pPr>
      <w:r w:rsidRPr="0001540C">
        <w:rPr>
          <w:sz w:val="20"/>
          <w:szCs w:val="20"/>
        </w:rPr>
        <w:t>•       Recycling or resubmitting one’s own prior work for a different course without the explicit permission of both the current and, where applicable, prior instructor (“self-plagiarism”).</w:t>
      </w:r>
    </w:p>
    <w:p w14:paraId="24EFE007" w14:textId="77777777" w:rsidR="00D81755" w:rsidRPr="0001540C" w:rsidRDefault="0073296A">
      <w:pPr>
        <w:spacing w:before="80" w:after="80"/>
        <w:rPr>
          <w:sz w:val="20"/>
          <w:szCs w:val="20"/>
        </w:rPr>
      </w:pPr>
      <w:r w:rsidRPr="0001540C">
        <w:rPr>
          <w:sz w:val="20"/>
          <w:szCs w:val="20"/>
        </w:rPr>
        <w:t xml:space="preserve"> </w:t>
      </w:r>
    </w:p>
    <w:p w14:paraId="24EFE008" w14:textId="77777777" w:rsidR="00D81755" w:rsidRPr="0001540C" w:rsidRDefault="0073296A">
      <w:pPr>
        <w:pStyle w:val="Heading2"/>
        <w:keepNext w:val="0"/>
        <w:keepLines w:val="0"/>
        <w:spacing w:before="360" w:after="80"/>
        <w:rPr>
          <w:b w:val="0"/>
          <w:bCs w:val="0"/>
        </w:rPr>
      </w:pPr>
      <w:bookmarkStart w:id="71" w:name="_heading=h.2vcsawsgnmpp" w:colFirst="0" w:colLast="0"/>
      <w:bookmarkEnd w:id="71"/>
      <w:r w:rsidRPr="0001540C">
        <w:rPr>
          <w:b w:val="0"/>
          <w:bCs w:val="0"/>
        </w:rPr>
        <w:t>C. Misuse of Sources</w:t>
      </w:r>
    </w:p>
    <w:p w14:paraId="24EFE009" w14:textId="77777777" w:rsidR="00D81755" w:rsidRPr="0001540C" w:rsidRDefault="0073296A">
      <w:pPr>
        <w:spacing w:before="80" w:after="80"/>
        <w:rPr>
          <w:color w:val="1155CC"/>
          <w:sz w:val="20"/>
          <w:szCs w:val="20"/>
          <w:u w:val="single"/>
        </w:rPr>
      </w:pPr>
      <w:r w:rsidRPr="0001540C">
        <w:rPr>
          <w:sz w:val="20"/>
          <w:szCs w:val="20"/>
        </w:rPr>
        <w:lastRenderedPageBreak/>
        <w:t>Misuse of sources is defined as “carelessly or inadequately citing ideas and words borrowed from another source” (WHAT IS THE SOURCE FOR THIS REFERENCE… Ethical writers make every effort to acknowledge sources fully and appropriately in accordance with the contexts and genres of their writing. A student who attempts (even if clumsily) to identify and credit his or her source, but who misuses a specific citation format or incorrectly uses quotation marks or other forms of identifying material taken from other sources, has NOT plagiarized. Instead, such a student [has] failed to cite and document sources appropriately” (Council of Writing Program Administrators. “Defining and Avoiding Plagiarism: The WPA Statement on Best Practices.” While misuse of sources is not plagiarism, it represents an error in citation.</w:t>
      </w:r>
      <w:hyperlink r:id="rId49">
        <w:r w:rsidRPr="0001540C">
          <w:rPr>
            <w:sz w:val="20"/>
            <w:szCs w:val="20"/>
          </w:rPr>
          <w:t xml:space="preserve"> </w:t>
        </w:r>
      </w:hyperlink>
      <w:hyperlink r:id="rId50">
        <w:r w:rsidRPr="0001540C">
          <w:rPr>
            <w:color w:val="1155CC"/>
            <w:sz w:val="20"/>
            <w:szCs w:val="20"/>
            <w:u w:val="single"/>
          </w:rPr>
          <w:t>Council of Writing Program Administrators, Jan. 2003.</w:t>
        </w:r>
      </w:hyperlink>
    </w:p>
    <w:p w14:paraId="24EFE00A" w14:textId="77777777" w:rsidR="00D81755" w:rsidRPr="0001540C" w:rsidRDefault="0073296A">
      <w:pPr>
        <w:pStyle w:val="Heading2"/>
        <w:keepNext w:val="0"/>
        <w:keepLines w:val="0"/>
        <w:spacing w:before="360" w:after="80"/>
        <w:rPr>
          <w:b w:val="0"/>
          <w:bCs w:val="0"/>
        </w:rPr>
      </w:pPr>
      <w:bookmarkStart w:id="72" w:name="_heading=h.56ldltwb2lev" w:colFirst="0" w:colLast="0"/>
      <w:bookmarkEnd w:id="72"/>
      <w:r w:rsidRPr="0001540C">
        <w:rPr>
          <w:b w:val="0"/>
          <w:bCs w:val="0"/>
        </w:rPr>
        <w:t>D. Practice and Professional Dishonesty</w:t>
      </w:r>
    </w:p>
    <w:p w14:paraId="24EFE00B" w14:textId="77777777" w:rsidR="00D81755" w:rsidRPr="0001540C" w:rsidRDefault="0073296A">
      <w:pPr>
        <w:spacing w:before="60" w:after="100"/>
        <w:rPr>
          <w:sz w:val="20"/>
          <w:szCs w:val="20"/>
        </w:rPr>
      </w:pPr>
      <w:r w:rsidRPr="0001540C">
        <w:rPr>
          <w:sz w:val="20"/>
          <w:szCs w:val="20"/>
        </w:rPr>
        <w:t>In addition to classroom-based violations, the PPH recognizes that public health students may engage in fieldwork, practicum, or experiential learning. Academic dishonesty in these contexts includes:</w:t>
      </w:r>
    </w:p>
    <w:p w14:paraId="24EFE00C" w14:textId="77777777" w:rsidR="00D81755" w:rsidRPr="0001540C" w:rsidRDefault="0073296A">
      <w:pPr>
        <w:spacing w:before="40" w:after="40"/>
        <w:ind w:left="720"/>
        <w:rPr>
          <w:sz w:val="20"/>
          <w:szCs w:val="20"/>
        </w:rPr>
      </w:pPr>
      <w:r w:rsidRPr="0001540C">
        <w:rPr>
          <w:sz w:val="20"/>
          <w:szCs w:val="20"/>
        </w:rPr>
        <w:t>•       Integrity: Falsifying, fabricating, or misrepresenting data collected in fieldwork, practicum or integrative experience settings.</w:t>
      </w:r>
    </w:p>
    <w:p w14:paraId="24EFE00D" w14:textId="77777777" w:rsidR="00D81755" w:rsidRPr="0001540C" w:rsidRDefault="0073296A">
      <w:pPr>
        <w:spacing w:before="40" w:after="40"/>
        <w:ind w:left="720"/>
        <w:rPr>
          <w:sz w:val="20"/>
          <w:szCs w:val="20"/>
        </w:rPr>
      </w:pPr>
      <w:r w:rsidRPr="0001540C">
        <w:rPr>
          <w:sz w:val="20"/>
          <w:szCs w:val="20"/>
        </w:rPr>
        <w:t>•       Integrity: Misrepresenting attendance, hours, or activities completed in field placements.</w:t>
      </w:r>
    </w:p>
    <w:p w14:paraId="24EFE00E" w14:textId="77777777" w:rsidR="00D81755" w:rsidRPr="0001540C" w:rsidRDefault="0073296A">
      <w:pPr>
        <w:spacing w:before="40" w:after="40"/>
        <w:ind w:left="720"/>
        <w:rPr>
          <w:sz w:val="20"/>
          <w:szCs w:val="20"/>
        </w:rPr>
      </w:pPr>
      <w:r w:rsidRPr="0001540C">
        <w:rPr>
          <w:sz w:val="20"/>
          <w:szCs w:val="20"/>
        </w:rPr>
        <w:t>•       Originality and Integrity: Misrepresenting professional credentials or competencies in academic or clinical documentation.</w:t>
      </w:r>
    </w:p>
    <w:p w14:paraId="24EFE00F" w14:textId="77777777" w:rsidR="00D81755" w:rsidRPr="0001540C" w:rsidRDefault="0073296A">
      <w:pPr>
        <w:spacing w:before="40" w:after="40"/>
        <w:ind w:left="720"/>
        <w:rPr>
          <w:sz w:val="20"/>
          <w:szCs w:val="20"/>
        </w:rPr>
      </w:pPr>
      <w:r w:rsidRPr="0001540C">
        <w:rPr>
          <w:sz w:val="20"/>
          <w:szCs w:val="20"/>
        </w:rPr>
        <w:t>•       Confidentiality Issues: Disclosure of patient, client, or agency information, including using real names in reports or sharing sensitive data without authorization.</w:t>
      </w:r>
    </w:p>
    <w:p w14:paraId="24EFE010" w14:textId="77777777" w:rsidR="00D81755" w:rsidRPr="0001540C" w:rsidRDefault="0073296A">
      <w:pPr>
        <w:spacing w:before="40" w:after="40"/>
        <w:ind w:left="720"/>
        <w:rPr>
          <w:sz w:val="20"/>
          <w:szCs w:val="20"/>
        </w:rPr>
      </w:pPr>
      <w:r w:rsidRPr="0001540C">
        <w:rPr>
          <w:sz w:val="20"/>
          <w:szCs w:val="20"/>
        </w:rPr>
        <w:t>•       Ethics Concerns: Failure to adhere to site-specific policies or professional codes of ethics, such as the Health Insurance Portability and Accountability Act (HIPAA).</w:t>
      </w:r>
    </w:p>
    <w:p w14:paraId="24EFE011" w14:textId="77777777" w:rsidR="00D81755" w:rsidRPr="0001540C" w:rsidRDefault="0073296A">
      <w:pPr>
        <w:spacing w:before="40" w:after="40"/>
        <w:ind w:left="720"/>
        <w:rPr>
          <w:sz w:val="20"/>
          <w:szCs w:val="20"/>
        </w:rPr>
      </w:pPr>
      <w:r w:rsidRPr="0001540C">
        <w:rPr>
          <w:sz w:val="20"/>
          <w:szCs w:val="20"/>
        </w:rPr>
        <w:t>•       Originality and Integrity: Submission of assignments, journals, or reports that are not original, or reuse of materials from previous placements.</w:t>
      </w:r>
    </w:p>
    <w:p w14:paraId="24EFE012" w14:textId="77777777" w:rsidR="00D81755" w:rsidRPr="0001540C" w:rsidRDefault="0073296A">
      <w:pPr>
        <w:spacing w:before="40" w:after="40"/>
        <w:ind w:left="720"/>
        <w:rPr>
          <w:sz w:val="20"/>
          <w:szCs w:val="20"/>
        </w:rPr>
      </w:pPr>
      <w:r w:rsidRPr="0001540C">
        <w:rPr>
          <w:sz w:val="20"/>
          <w:szCs w:val="20"/>
        </w:rPr>
        <w:t>•       Collaboration Without Authorization: Collaborating on reports or projects designated for individual completion.</w:t>
      </w:r>
    </w:p>
    <w:p w14:paraId="24EFE014" w14:textId="54A7ECE0" w:rsidR="00D81755" w:rsidRPr="0001540C" w:rsidRDefault="0073296A" w:rsidP="002D3BA5">
      <w:pPr>
        <w:spacing w:before="40" w:after="40"/>
        <w:ind w:left="720"/>
        <w:rPr>
          <w:sz w:val="20"/>
          <w:szCs w:val="20"/>
        </w:rPr>
      </w:pPr>
      <w:r w:rsidRPr="0001540C">
        <w:rPr>
          <w:sz w:val="20"/>
          <w:szCs w:val="20"/>
        </w:rPr>
        <w:t xml:space="preserve">•       Professional Conduct: Failure to maintain professional boundaries or </w:t>
      </w:r>
      <w:proofErr w:type="gramStart"/>
      <w:r w:rsidRPr="0001540C">
        <w:rPr>
          <w:sz w:val="20"/>
          <w:szCs w:val="20"/>
        </w:rPr>
        <w:t>permitting</w:t>
      </w:r>
      <w:proofErr w:type="gramEnd"/>
      <w:r w:rsidRPr="0001540C">
        <w:rPr>
          <w:sz w:val="20"/>
          <w:szCs w:val="20"/>
        </w:rPr>
        <w:t xml:space="preserve"> personal behavior to interfere with professional responsibilities.</w:t>
      </w:r>
    </w:p>
    <w:p w14:paraId="24EFE015" w14:textId="77777777" w:rsidR="00D81755" w:rsidRPr="0001540C" w:rsidRDefault="0073296A">
      <w:pPr>
        <w:pStyle w:val="Heading1"/>
        <w:keepNext w:val="0"/>
        <w:spacing w:before="480" w:after="120"/>
        <w:rPr>
          <w:b w:val="0"/>
          <w:bCs w:val="0"/>
          <w:sz w:val="20"/>
          <w:szCs w:val="20"/>
        </w:rPr>
      </w:pPr>
      <w:bookmarkStart w:id="73" w:name="_heading=h.ltp8h7x2zyo6" w:colFirst="0" w:colLast="0"/>
      <w:bookmarkEnd w:id="73"/>
      <w:r w:rsidRPr="0001540C">
        <w:rPr>
          <w:b w:val="0"/>
          <w:bCs w:val="0"/>
          <w:sz w:val="20"/>
          <w:szCs w:val="20"/>
        </w:rPr>
        <w:t>III. EDUCATIONAL COMMITMENT</w:t>
      </w:r>
    </w:p>
    <w:p w14:paraId="24EFE016" w14:textId="77777777" w:rsidR="00D81755" w:rsidRPr="0001540C" w:rsidRDefault="0073296A">
      <w:pPr>
        <w:spacing w:before="60" w:after="100"/>
        <w:rPr>
          <w:sz w:val="20"/>
          <w:szCs w:val="20"/>
        </w:rPr>
      </w:pPr>
      <w:r w:rsidRPr="0001540C">
        <w:rPr>
          <w:sz w:val="20"/>
          <w:szCs w:val="20"/>
        </w:rPr>
        <w:t>The PPH is committed to a proactive, educational approach to academic integrity. The following educational measures are in place:</w:t>
      </w:r>
    </w:p>
    <w:p w14:paraId="24EFE017" w14:textId="77777777" w:rsidR="00D81755" w:rsidRPr="0001540C" w:rsidRDefault="0073296A">
      <w:pPr>
        <w:pStyle w:val="Heading2"/>
        <w:keepNext w:val="0"/>
        <w:keepLines w:val="0"/>
        <w:spacing w:before="360" w:after="80"/>
        <w:rPr>
          <w:b w:val="0"/>
          <w:bCs w:val="0"/>
        </w:rPr>
      </w:pPr>
      <w:bookmarkStart w:id="74" w:name="_heading=h.eyrx5ggi26ny" w:colFirst="0" w:colLast="0"/>
      <w:bookmarkEnd w:id="74"/>
      <w:r w:rsidRPr="0001540C">
        <w:rPr>
          <w:b w:val="0"/>
          <w:bCs w:val="0"/>
        </w:rPr>
        <w:t>A. Orientation Education</w:t>
      </w:r>
    </w:p>
    <w:p w14:paraId="24EFE018" w14:textId="77777777" w:rsidR="00D81755" w:rsidRPr="0001540C" w:rsidRDefault="0073296A">
      <w:pPr>
        <w:spacing w:before="60" w:after="100"/>
        <w:rPr>
          <w:sz w:val="20"/>
          <w:szCs w:val="20"/>
        </w:rPr>
      </w:pPr>
      <w:r w:rsidRPr="0001540C">
        <w:rPr>
          <w:sz w:val="20"/>
          <w:szCs w:val="20"/>
        </w:rPr>
        <w:t>All incoming PPH students receive instruction on academic integrity during Orientation. This session, administered by a core PPH faculty member or staff, defines academic dishonesty (including plagiarism, cheating, and unauthorized AI use), explains applicable policies, and clarifies the consequences of violations. Students sign an acknowledgment affirming their understanding.</w:t>
      </w:r>
    </w:p>
    <w:p w14:paraId="24EFE019" w14:textId="77777777" w:rsidR="00D81755" w:rsidRPr="0001540C" w:rsidRDefault="0073296A">
      <w:pPr>
        <w:pStyle w:val="Heading2"/>
        <w:keepNext w:val="0"/>
        <w:keepLines w:val="0"/>
        <w:spacing w:before="360" w:after="80"/>
        <w:rPr>
          <w:b w:val="0"/>
          <w:bCs w:val="0"/>
        </w:rPr>
      </w:pPr>
      <w:bookmarkStart w:id="75" w:name="_heading=h.7342jcq1kjyj" w:colFirst="0" w:colLast="0"/>
      <w:bookmarkEnd w:id="75"/>
      <w:r w:rsidRPr="0001540C">
        <w:rPr>
          <w:b w:val="0"/>
          <w:bCs w:val="0"/>
        </w:rPr>
        <w:t>B. Foundational Coursework</w:t>
      </w:r>
    </w:p>
    <w:p w14:paraId="24EFE01A" w14:textId="77777777" w:rsidR="00D81755" w:rsidRPr="0001540C" w:rsidRDefault="0073296A">
      <w:pPr>
        <w:spacing w:before="60" w:after="100"/>
        <w:rPr>
          <w:sz w:val="20"/>
          <w:szCs w:val="20"/>
        </w:rPr>
      </w:pPr>
      <w:r w:rsidRPr="0001540C">
        <w:rPr>
          <w:sz w:val="20"/>
          <w:szCs w:val="20"/>
        </w:rPr>
        <w:t xml:space="preserve">Students may receive additional instruction on research ethics, citation practices, and responsible </w:t>
      </w:r>
      <w:proofErr w:type="gramStart"/>
      <w:r w:rsidRPr="0001540C">
        <w:rPr>
          <w:sz w:val="20"/>
          <w:szCs w:val="20"/>
        </w:rPr>
        <w:t>scholarship</w:t>
      </w:r>
      <w:proofErr w:type="gramEnd"/>
      <w:r w:rsidRPr="0001540C">
        <w:rPr>
          <w:sz w:val="20"/>
          <w:szCs w:val="20"/>
        </w:rPr>
        <w:t xml:space="preserve"> through required coursework.</w:t>
      </w:r>
    </w:p>
    <w:p w14:paraId="24EFE01B" w14:textId="77777777" w:rsidR="00D81755" w:rsidRPr="0001540C" w:rsidRDefault="0073296A">
      <w:pPr>
        <w:pStyle w:val="Heading2"/>
        <w:keepNext w:val="0"/>
        <w:keepLines w:val="0"/>
        <w:spacing w:before="360" w:after="80"/>
        <w:rPr>
          <w:b w:val="0"/>
          <w:bCs w:val="0"/>
        </w:rPr>
      </w:pPr>
      <w:bookmarkStart w:id="76" w:name="_heading=h.uguj26czxd6e" w:colFirst="0" w:colLast="0"/>
      <w:bookmarkEnd w:id="76"/>
      <w:r w:rsidRPr="0001540C">
        <w:rPr>
          <w:b w:val="0"/>
          <w:bCs w:val="0"/>
        </w:rPr>
        <w:t>C. Instructor Responsibilities</w:t>
      </w:r>
    </w:p>
    <w:p w14:paraId="24EFE01C" w14:textId="77777777" w:rsidR="00D81755" w:rsidRPr="0001540C" w:rsidRDefault="0073296A">
      <w:pPr>
        <w:spacing w:before="60" w:after="100"/>
        <w:rPr>
          <w:sz w:val="20"/>
          <w:szCs w:val="20"/>
        </w:rPr>
      </w:pPr>
      <w:r w:rsidRPr="0001540C">
        <w:rPr>
          <w:sz w:val="20"/>
          <w:szCs w:val="20"/>
        </w:rPr>
        <w:t>Faculty are expected to clearly communicate academic integrity expectations, including any authorized or prohibited use of AI tools in each course syllabus. Ambiguity in course policy does not eliminate a student’s responsibility to seek clarification before submitting work.</w:t>
      </w:r>
    </w:p>
    <w:p w14:paraId="24EFE01D" w14:textId="77777777" w:rsidR="00D81755" w:rsidRPr="00223F33" w:rsidRDefault="0073296A">
      <w:pPr>
        <w:pStyle w:val="Heading1"/>
        <w:keepNext w:val="0"/>
        <w:spacing w:before="480" w:after="120"/>
        <w:rPr>
          <w:sz w:val="20"/>
          <w:szCs w:val="20"/>
        </w:rPr>
      </w:pPr>
      <w:bookmarkStart w:id="77" w:name="_heading=h.7lleie2dlyfx" w:colFirst="0" w:colLast="0"/>
      <w:bookmarkEnd w:id="77"/>
      <w:r w:rsidRPr="00223F33">
        <w:rPr>
          <w:sz w:val="20"/>
          <w:szCs w:val="20"/>
        </w:rPr>
        <w:t>IV. PROCEDURES FOR ADDRESSING FORMAL ACCUSATIONS</w:t>
      </w:r>
    </w:p>
    <w:p w14:paraId="24EFE01E" w14:textId="77777777" w:rsidR="00D81755" w:rsidRPr="0001540C" w:rsidRDefault="0073296A">
      <w:pPr>
        <w:spacing w:before="60" w:after="100"/>
        <w:rPr>
          <w:sz w:val="20"/>
          <w:szCs w:val="20"/>
        </w:rPr>
      </w:pPr>
      <w:r w:rsidRPr="0001540C">
        <w:rPr>
          <w:sz w:val="20"/>
          <w:szCs w:val="20"/>
        </w:rPr>
        <w:t>The PPH employs a structured, multi-step process designed to ensure fairness, transparency, and due process for all parties. All proceedings are conducted with strict confidence.</w:t>
      </w:r>
    </w:p>
    <w:p w14:paraId="24EFE01F" w14:textId="77777777" w:rsidR="00D81755" w:rsidRPr="0001540C" w:rsidRDefault="0073296A">
      <w:pPr>
        <w:pStyle w:val="Heading2"/>
        <w:keepNext w:val="0"/>
        <w:keepLines w:val="0"/>
        <w:spacing w:before="0" w:after="80"/>
        <w:rPr>
          <w:b w:val="0"/>
          <w:bCs w:val="0"/>
          <w:color w:val="1F3864"/>
        </w:rPr>
      </w:pPr>
      <w:bookmarkStart w:id="78" w:name="_heading=h.xjdmf5qkduz2" w:colFirst="0" w:colLast="0"/>
      <w:bookmarkEnd w:id="78"/>
      <w:r w:rsidRPr="0001540C">
        <w:rPr>
          <w:b w:val="0"/>
          <w:bCs w:val="0"/>
          <w:color w:val="1F3864"/>
        </w:rPr>
        <w:t>Committee Purpose and Composition</w:t>
      </w:r>
    </w:p>
    <w:p w14:paraId="24EFE020" w14:textId="77777777" w:rsidR="00D81755" w:rsidRPr="0001540C" w:rsidRDefault="0073296A">
      <w:pPr>
        <w:pStyle w:val="Heading3"/>
        <w:keepNext w:val="0"/>
        <w:spacing w:before="280" w:after="80"/>
        <w:rPr>
          <w:rFonts w:ascii="Times New Roman" w:eastAsia="Times New Roman" w:hAnsi="Times New Roman" w:cs="Times New Roman"/>
          <w:b w:val="0"/>
          <w:bCs w:val="0"/>
          <w:sz w:val="20"/>
          <w:szCs w:val="20"/>
        </w:rPr>
      </w:pPr>
      <w:bookmarkStart w:id="79" w:name="_heading=h.qs13heabuvmf" w:colFirst="0" w:colLast="0"/>
      <w:bookmarkEnd w:id="79"/>
      <w:r w:rsidRPr="0001540C">
        <w:rPr>
          <w:rFonts w:ascii="Times New Roman" w:eastAsia="Times New Roman" w:hAnsi="Times New Roman" w:cs="Times New Roman"/>
          <w:b w:val="0"/>
          <w:bCs w:val="0"/>
          <w:sz w:val="20"/>
          <w:szCs w:val="20"/>
        </w:rPr>
        <w:t>A. Purpose</w:t>
      </w:r>
    </w:p>
    <w:p w14:paraId="24EFE021" w14:textId="77777777" w:rsidR="00D81755" w:rsidRPr="0001540C" w:rsidRDefault="0073296A">
      <w:pPr>
        <w:spacing w:before="240" w:after="240"/>
        <w:rPr>
          <w:sz w:val="20"/>
          <w:szCs w:val="20"/>
        </w:rPr>
      </w:pPr>
      <w:r w:rsidRPr="0001540C">
        <w:rPr>
          <w:sz w:val="20"/>
          <w:szCs w:val="20"/>
        </w:rPr>
        <w:lastRenderedPageBreak/>
        <w:t>The PPH Academic Integrity, Grievance, and Appeals Committee (the "Committee") is established to ensure that all formal accusations of academic dishonesty, as well as formal student grievances, are addressed in a manner that is fair, consistent, transparent, and respectful of due process for all parties involved.</w:t>
      </w:r>
    </w:p>
    <w:p w14:paraId="24EFE022" w14:textId="77777777" w:rsidR="00D81755" w:rsidRPr="0001540C" w:rsidRDefault="0073296A">
      <w:pPr>
        <w:spacing w:before="240" w:after="240"/>
        <w:rPr>
          <w:sz w:val="20"/>
          <w:szCs w:val="20"/>
        </w:rPr>
      </w:pPr>
      <w:r w:rsidRPr="0001540C">
        <w:rPr>
          <w:sz w:val="20"/>
          <w:szCs w:val="20"/>
        </w:rPr>
        <w:t>The Committee is responsible for:</w:t>
      </w:r>
    </w:p>
    <w:p w14:paraId="24EFE023" w14:textId="77777777" w:rsidR="00D81755" w:rsidRPr="0001540C" w:rsidRDefault="0073296A">
      <w:pPr>
        <w:spacing w:before="240"/>
        <w:ind w:left="720"/>
        <w:rPr>
          <w:sz w:val="20"/>
          <w:szCs w:val="20"/>
        </w:rPr>
      </w:pPr>
      <w:r w:rsidRPr="0001540C">
        <w:rPr>
          <w:sz w:val="20"/>
          <w:szCs w:val="20"/>
        </w:rPr>
        <w:t>●     Reviewing formal accusations of academic dishonesty referred by Program Directors, along with all supporting documentation and the student's written response.</w:t>
      </w:r>
    </w:p>
    <w:p w14:paraId="24EFE024" w14:textId="77777777" w:rsidR="00D81755" w:rsidRPr="0001540C" w:rsidRDefault="0073296A">
      <w:pPr>
        <w:ind w:left="720"/>
        <w:rPr>
          <w:sz w:val="20"/>
          <w:szCs w:val="20"/>
        </w:rPr>
      </w:pPr>
      <w:r w:rsidRPr="0001540C">
        <w:rPr>
          <w:sz w:val="20"/>
          <w:szCs w:val="20"/>
        </w:rPr>
        <w:t>●     Determining whether the evidence substantiates that a violation of the Academic Integrity Policy, as defined in Section II, has occurred.</w:t>
      </w:r>
    </w:p>
    <w:p w14:paraId="24EFE025" w14:textId="77777777" w:rsidR="00D81755" w:rsidRPr="0001540C" w:rsidRDefault="0073296A">
      <w:pPr>
        <w:ind w:left="720"/>
        <w:rPr>
          <w:sz w:val="20"/>
          <w:szCs w:val="20"/>
        </w:rPr>
      </w:pPr>
      <w:r w:rsidRPr="0001540C">
        <w:rPr>
          <w:sz w:val="20"/>
          <w:szCs w:val="20"/>
        </w:rPr>
        <w:t>●     Conducting formal hearings when warranted, in accordance with the procedures outlined in this section, and reaching determinations by majority vote.</w:t>
      </w:r>
    </w:p>
    <w:p w14:paraId="24EFE026" w14:textId="77777777" w:rsidR="00D81755" w:rsidRPr="0001540C" w:rsidRDefault="0073296A">
      <w:pPr>
        <w:ind w:left="720"/>
        <w:rPr>
          <w:sz w:val="20"/>
          <w:szCs w:val="20"/>
        </w:rPr>
      </w:pPr>
      <w:r w:rsidRPr="0001540C">
        <w:rPr>
          <w:sz w:val="20"/>
          <w:szCs w:val="20"/>
        </w:rPr>
        <w:t>●     Supporting the application of sanctions consistent with the relevant course syllabus and the severity guidelines outlined in this policy.</w:t>
      </w:r>
    </w:p>
    <w:p w14:paraId="24EFE027" w14:textId="77777777" w:rsidR="00D81755" w:rsidRPr="0001540C" w:rsidRDefault="0073296A">
      <w:pPr>
        <w:ind w:left="720"/>
        <w:rPr>
          <w:sz w:val="20"/>
          <w:szCs w:val="20"/>
        </w:rPr>
      </w:pPr>
      <w:r w:rsidRPr="0001540C">
        <w:rPr>
          <w:sz w:val="20"/>
          <w:szCs w:val="20"/>
        </w:rPr>
        <w:t>●     Reviewing and resolving formal student grievances related to non-academic integrity matters, as outlined in Section VI, once required informal resolution steps have been completed.</w:t>
      </w:r>
    </w:p>
    <w:p w14:paraId="24EFE028" w14:textId="77777777" w:rsidR="00D81755" w:rsidRPr="0001540C" w:rsidRDefault="0073296A">
      <w:pPr>
        <w:spacing w:after="240"/>
        <w:ind w:left="720"/>
        <w:rPr>
          <w:sz w:val="20"/>
          <w:szCs w:val="20"/>
        </w:rPr>
      </w:pPr>
      <w:r w:rsidRPr="0001540C">
        <w:rPr>
          <w:sz w:val="20"/>
          <w:szCs w:val="20"/>
        </w:rPr>
        <w:t xml:space="preserve">●     Maintaining the confidentiality of all proceedings, deliberations, and records in accordance with </w:t>
      </w:r>
      <w:proofErr w:type="gramStart"/>
      <w:r w:rsidRPr="0001540C">
        <w:rPr>
          <w:sz w:val="20"/>
          <w:szCs w:val="20"/>
        </w:rPr>
        <w:t>University</w:t>
      </w:r>
      <w:proofErr w:type="gramEnd"/>
      <w:r w:rsidRPr="0001540C">
        <w:rPr>
          <w:sz w:val="20"/>
          <w:szCs w:val="20"/>
        </w:rPr>
        <w:t xml:space="preserve"> policy and applicable privacy law.</w:t>
      </w:r>
    </w:p>
    <w:p w14:paraId="24EFE029" w14:textId="77777777" w:rsidR="00D81755" w:rsidRPr="0001540C" w:rsidRDefault="0073296A">
      <w:pPr>
        <w:pStyle w:val="Heading3"/>
        <w:keepNext w:val="0"/>
        <w:spacing w:before="280" w:after="80"/>
        <w:rPr>
          <w:rFonts w:ascii="Times New Roman" w:eastAsia="Times New Roman" w:hAnsi="Times New Roman" w:cs="Times New Roman"/>
          <w:b w:val="0"/>
          <w:bCs w:val="0"/>
          <w:sz w:val="20"/>
          <w:szCs w:val="20"/>
        </w:rPr>
      </w:pPr>
      <w:bookmarkStart w:id="80" w:name="_heading=h.dr5wqbrl9gbg" w:colFirst="0" w:colLast="0"/>
      <w:bookmarkEnd w:id="80"/>
      <w:r w:rsidRPr="0001540C">
        <w:rPr>
          <w:rFonts w:ascii="Times New Roman" w:eastAsia="Times New Roman" w:hAnsi="Times New Roman" w:cs="Times New Roman"/>
          <w:b w:val="0"/>
          <w:bCs w:val="0"/>
          <w:sz w:val="20"/>
          <w:szCs w:val="20"/>
        </w:rPr>
        <w:t>B. Composition</w:t>
      </w:r>
    </w:p>
    <w:p w14:paraId="24EFE02A" w14:textId="77777777" w:rsidR="00D81755" w:rsidRPr="0001540C" w:rsidRDefault="0073296A">
      <w:pPr>
        <w:spacing w:before="240" w:after="240"/>
        <w:rPr>
          <w:sz w:val="20"/>
          <w:szCs w:val="20"/>
        </w:rPr>
      </w:pPr>
      <w:r w:rsidRPr="0001540C">
        <w:rPr>
          <w:sz w:val="20"/>
          <w:szCs w:val="20"/>
        </w:rPr>
        <w:t>The Committee shall be composed of the following members for a case in which the accused is a matriculated student in a degree program offered by the Program in Public Health:</w:t>
      </w:r>
    </w:p>
    <w:p w14:paraId="24EFE02B" w14:textId="77777777" w:rsidR="00D81755" w:rsidRPr="0001540C" w:rsidRDefault="0073296A">
      <w:pPr>
        <w:spacing w:before="240"/>
        <w:ind w:left="720"/>
        <w:rPr>
          <w:sz w:val="20"/>
          <w:szCs w:val="20"/>
        </w:rPr>
      </w:pPr>
      <w:r w:rsidRPr="0001540C">
        <w:rPr>
          <w:sz w:val="20"/>
          <w:szCs w:val="20"/>
        </w:rPr>
        <w:t xml:space="preserve">●     Chair — </w:t>
      </w:r>
      <w:proofErr w:type="gramStart"/>
      <w:r w:rsidRPr="0001540C">
        <w:rPr>
          <w:sz w:val="20"/>
          <w:szCs w:val="20"/>
        </w:rPr>
        <w:t>Non</w:t>
      </w:r>
      <w:r w:rsidRPr="0001540C">
        <w:rPr>
          <w:i/>
          <w:iCs/>
          <w:sz w:val="20"/>
          <w:szCs w:val="20"/>
        </w:rPr>
        <w:t>-voting</w:t>
      </w:r>
      <w:proofErr w:type="gramEnd"/>
      <w:r w:rsidRPr="0001540C">
        <w:rPr>
          <w:i/>
          <w:iCs/>
          <w:sz w:val="20"/>
          <w:szCs w:val="20"/>
        </w:rPr>
        <w:t xml:space="preserve"> member.</w:t>
      </w:r>
      <w:r w:rsidRPr="0001540C">
        <w:rPr>
          <w:sz w:val="20"/>
          <w:szCs w:val="20"/>
        </w:rPr>
        <w:t xml:space="preserve"> The Associate Director for Academic and Student Affairs serves as Chair of the Committee and oversees the intake, review, and hearing process in accordance with this policy.</w:t>
      </w:r>
    </w:p>
    <w:p w14:paraId="24EFE02C" w14:textId="77777777" w:rsidR="00D81755" w:rsidRPr="0001540C" w:rsidRDefault="0073296A">
      <w:pPr>
        <w:ind w:left="720"/>
        <w:rPr>
          <w:sz w:val="20"/>
          <w:szCs w:val="20"/>
        </w:rPr>
      </w:pPr>
      <w:r w:rsidRPr="0001540C">
        <w:rPr>
          <w:sz w:val="20"/>
          <w:szCs w:val="20"/>
        </w:rPr>
        <w:t xml:space="preserve">●     Two (2) Faculty Members within the Student's Program — </w:t>
      </w:r>
      <w:r w:rsidRPr="0001540C">
        <w:rPr>
          <w:i/>
          <w:iCs/>
          <w:sz w:val="20"/>
          <w:szCs w:val="20"/>
        </w:rPr>
        <w:t>Voting members.</w:t>
      </w:r>
      <w:r w:rsidRPr="0001540C">
        <w:rPr>
          <w:sz w:val="20"/>
          <w:szCs w:val="20"/>
        </w:rPr>
        <w:t xml:space="preserve"> Two faculty members from the student's degree program will serve on the Committee to provide subject-matter and programmatic context relevant to the case.</w:t>
      </w:r>
    </w:p>
    <w:p w14:paraId="24EFE02D" w14:textId="77777777" w:rsidR="00D81755" w:rsidRPr="0001540C" w:rsidRDefault="0073296A">
      <w:pPr>
        <w:ind w:left="720"/>
        <w:rPr>
          <w:sz w:val="20"/>
          <w:szCs w:val="20"/>
        </w:rPr>
      </w:pPr>
      <w:r w:rsidRPr="0001540C">
        <w:rPr>
          <w:sz w:val="20"/>
          <w:szCs w:val="20"/>
        </w:rPr>
        <w:t xml:space="preserve">●     One (1) PPH Faculty Member outside the Student’s Program— </w:t>
      </w:r>
      <w:r w:rsidRPr="0001540C">
        <w:rPr>
          <w:i/>
          <w:iCs/>
          <w:sz w:val="20"/>
          <w:szCs w:val="20"/>
        </w:rPr>
        <w:t xml:space="preserve">Voting member. One faculty member from another PPH degree </w:t>
      </w:r>
      <w:proofErr w:type="gramStart"/>
      <w:r w:rsidRPr="0001540C">
        <w:rPr>
          <w:i/>
          <w:iCs/>
          <w:sz w:val="20"/>
          <w:szCs w:val="20"/>
        </w:rPr>
        <w:t>program,</w:t>
      </w:r>
      <w:proofErr w:type="gramEnd"/>
      <w:r w:rsidRPr="0001540C">
        <w:rPr>
          <w:i/>
          <w:iCs/>
          <w:sz w:val="20"/>
          <w:szCs w:val="20"/>
        </w:rPr>
        <w:t xml:space="preserve"> will serve</w:t>
      </w:r>
      <w:r w:rsidRPr="0001540C">
        <w:rPr>
          <w:sz w:val="20"/>
          <w:szCs w:val="20"/>
        </w:rPr>
        <w:t xml:space="preserve"> on the Committee to provide an impartial, cross-program perspective on the case.</w:t>
      </w:r>
    </w:p>
    <w:p w14:paraId="24EFE02E" w14:textId="77777777" w:rsidR="00D81755" w:rsidRPr="0001540C" w:rsidRDefault="0073296A">
      <w:pPr>
        <w:ind w:left="720"/>
        <w:rPr>
          <w:sz w:val="20"/>
          <w:szCs w:val="20"/>
        </w:rPr>
      </w:pPr>
      <w:r w:rsidRPr="0001540C">
        <w:rPr>
          <w:sz w:val="20"/>
          <w:szCs w:val="20"/>
        </w:rPr>
        <w:t xml:space="preserve">●     One (1) Optional Graduate Student Member — </w:t>
      </w:r>
      <w:r w:rsidRPr="0001540C">
        <w:rPr>
          <w:i/>
          <w:iCs/>
          <w:sz w:val="20"/>
          <w:szCs w:val="20"/>
        </w:rPr>
        <w:t>Voting member.</w:t>
      </w:r>
      <w:r w:rsidRPr="0001540C">
        <w:rPr>
          <w:sz w:val="20"/>
          <w:szCs w:val="20"/>
        </w:rPr>
        <w:t xml:space="preserve"> With the accused student's consent, a non-PPH graduate student representative may serve on the Committee, subject to applicable eligibility criteria and confidentiality protections. This role is intended to provide a student’s perspective.</w:t>
      </w:r>
    </w:p>
    <w:p w14:paraId="24EFE02F" w14:textId="77777777" w:rsidR="00D81755" w:rsidRPr="0001540C" w:rsidRDefault="0073296A">
      <w:pPr>
        <w:spacing w:after="240"/>
        <w:ind w:left="720"/>
        <w:rPr>
          <w:sz w:val="20"/>
          <w:szCs w:val="20"/>
        </w:rPr>
      </w:pPr>
      <w:r w:rsidRPr="0001540C">
        <w:rPr>
          <w:sz w:val="20"/>
          <w:szCs w:val="20"/>
        </w:rPr>
        <w:t xml:space="preserve">●     Program Director of the Student's Program — </w:t>
      </w:r>
      <w:r w:rsidRPr="0001540C">
        <w:rPr>
          <w:i/>
          <w:iCs/>
          <w:sz w:val="20"/>
          <w:szCs w:val="20"/>
        </w:rPr>
        <w:t>Non-voting member.</w:t>
      </w:r>
      <w:r w:rsidRPr="0001540C">
        <w:rPr>
          <w:sz w:val="20"/>
          <w:szCs w:val="20"/>
        </w:rPr>
        <w:t xml:space="preserve"> The Program Director of the student's own degree program may participate in Committee proceedings in an advisory capacity to provide program-specific context but does not vote on the Committee's determination, given their direct involvement with the student and potential conflict of interest.</w:t>
      </w:r>
    </w:p>
    <w:p w14:paraId="24EFE030" w14:textId="77777777" w:rsidR="00D81755" w:rsidRPr="0001540C" w:rsidRDefault="0073296A">
      <w:pPr>
        <w:spacing w:before="240" w:after="240"/>
        <w:ind w:left="720"/>
        <w:rPr>
          <w:sz w:val="20"/>
          <w:szCs w:val="20"/>
        </w:rPr>
      </w:pPr>
      <w:r w:rsidRPr="0001540C">
        <w:rPr>
          <w:sz w:val="20"/>
          <w:szCs w:val="20"/>
        </w:rPr>
        <w:t>The Committee’s composition will be modified in the following way for a case in which the accused is taking a course offered by the Program in Public Health while a matriculate in a degree program outside the Program in Public Health (e.g., MBA):</w:t>
      </w:r>
    </w:p>
    <w:p w14:paraId="24EFE031" w14:textId="733A39D5" w:rsidR="00D81755" w:rsidRPr="0001540C" w:rsidRDefault="0073296A">
      <w:pPr>
        <w:spacing w:before="240" w:after="240"/>
        <w:ind w:left="1440"/>
        <w:rPr>
          <w:sz w:val="20"/>
          <w:szCs w:val="20"/>
        </w:rPr>
      </w:pPr>
      <w:r w:rsidRPr="0001540C">
        <w:rPr>
          <w:sz w:val="20"/>
          <w:szCs w:val="20"/>
        </w:rPr>
        <w:t>-  The above committee will include the Program Director of the student’s program or another representative appointed by the Dean of the external academic unit (non-voting) in addition to the Program Director within the Program in Public Health who oversees the course that the accused is enrolled in (e.g., the course resides within the MPH or the MHA curriculum offerings).</w:t>
      </w:r>
    </w:p>
    <w:p w14:paraId="24EFE032" w14:textId="77777777" w:rsidR="00D81755" w:rsidRPr="0001540C" w:rsidRDefault="0073296A">
      <w:pPr>
        <w:spacing w:before="240" w:after="240"/>
        <w:ind w:firstLine="20"/>
        <w:rPr>
          <w:sz w:val="20"/>
          <w:szCs w:val="20"/>
        </w:rPr>
      </w:pPr>
      <w:r w:rsidRPr="0001540C">
        <w:rPr>
          <w:sz w:val="20"/>
          <w:szCs w:val="20"/>
        </w:rPr>
        <w:t>Lastly, in situations when an accused student is not matriculated into any degree program, the Program Director within the Program in Public Health who oversees the course that the accused is enrolled in (e.g., the course resides within the MPH or the MHAA curriculum offerings) will be included in the committee (non-voting).</w:t>
      </w:r>
    </w:p>
    <w:p w14:paraId="24EFE033" w14:textId="77777777" w:rsidR="00D81755" w:rsidRPr="0001540C" w:rsidRDefault="0073296A">
      <w:pPr>
        <w:spacing w:before="80" w:after="80"/>
        <w:rPr>
          <w:color w:val="2E5D9E"/>
          <w:sz w:val="20"/>
          <w:szCs w:val="20"/>
        </w:rPr>
      </w:pPr>
      <w:r w:rsidRPr="0001540C">
        <w:rPr>
          <w:color w:val="2E5D9E"/>
          <w:sz w:val="20"/>
          <w:szCs w:val="20"/>
        </w:rPr>
        <w:t>Step 1 – Faculty Identification and Documentation</w:t>
      </w:r>
    </w:p>
    <w:p w14:paraId="24EFE034" w14:textId="77777777" w:rsidR="00D81755" w:rsidRPr="0001540C" w:rsidRDefault="0073296A">
      <w:pPr>
        <w:spacing w:before="240" w:after="240"/>
        <w:rPr>
          <w:sz w:val="20"/>
          <w:szCs w:val="20"/>
        </w:rPr>
      </w:pPr>
      <w:r w:rsidRPr="0001540C">
        <w:rPr>
          <w:sz w:val="20"/>
          <w:szCs w:val="20"/>
        </w:rPr>
        <w:t xml:space="preserve">Any Program in Public Health (PPH) faculty member or instructor who files a formal </w:t>
      </w:r>
      <w:proofErr w:type="gramStart"/>
      <w:r w:rsidRPr="0001540C">
        <w:rPr>
          <w:sz w:val="20"/>
          <w:szCs w:val="20"/>
        </w:rPr>
        <w:t>accusation  of</w:t>
      </w:r>
      <w:proofErr w:type="gramEnd"/>
      <w:r w:rsidRPr="0001540C">
        <w:rPr>
          <w:sz w:val="20"/>
          <w:szCs w:val="20"/>
        </w:rPr>
        <w:t xml:space="preserve"> academic dishonesty must document the violation in writing and provide supporting evidence to the Associate Director for Academic and Student Affairs, who is also the Chair of the PPH Academic Integrity Committee. Documentation may include, but is not limited to, the original assignment and the suspected source, plagiarism detection software reports (e.g., Turnitin), examination records, or written observations of the alleged misconduct. Faculty must also submit a copy of their syllabus.</w:t>
      </w:r>
    </w:p>
    <w:p w14:paraId="24EFE035" w14:textId="77777777" w:rsidR="00D81755" w:rsidRPr="0001540C" w:rsidRDefault="0073296A">
      <w:pPr>
        <w:spacing w:before="240" w:after="240"/>
        <w:rPr>
          <w:sz w:val="20"/>
          <w:szCs w:val="20"/>
        </w:rPr>
      </w:pPr>
      <w:r w:rsidRPr="0001540C">
        <w:rPr>
          <w:sz w:val="20"/>
          <w:szCs w:val="20"/>
        </w:rPr>
        <w:lastRenderedPageBreak/>
        <w:t xml:space="preserve">The faculty member or instructor shall submit a formal written accusation, along with all supporting documentation, to the Program Director of the student's academic program. The Program Director will review the accusation and provide guidance to both the faculty member and the student </w:t>
      </w:r>
      <w:proofErr w:type="gramStart"/>
      <w:r w:rsidRPr="0001540C">
        <w:rPr>
          <w:sz w:val="20"/>
          <w:szCs w:val="20"/>
        </w:rPr>
        <w:t>in an effort to</w:t>
      </w:r>
      <w:proofErr w:type="gramEnd"/>
      <w:r w:rsidRPr="0001540C">
        <w:rPr>
          <w:sz w:val="20"/>
          <w:szCs w:val="20"/>
        </w:rPr>
        <w:t xml:space="preserve"> facilitate a resolution, when appropriate.</w:t>
      </w:r>
    </w:p>
    <w:p w14:paraId="24EFE036" w14:textId="77777777" w:rsidR="00D81755" w:rsidRPr="0001540C" w:rsidRDefault="0073296A">
      <w:pPr>
        <w:spacing w:before="240" w:after="240"/>
        <w:rPr>
          <w:sz w:val="20"/>
          <w:szCs w:val="20"/>
        </w:rPr>
      </w:pPr>
      <w:r w:rsidRPr="0001540C">
        <w:rPr>
          <w:sz w:val="20"/>
          <w:szCs w:val="20"/>
        </w:rPr>
        <w:t xml:space="preserve">If the matter cannot be resolved at this stage, the Program Director will refer the case to the Program in Public Health Academic Integrity, Grievance, and Appeals Committee (hereinafter, "the Committee"). Simultaneously, the Chair of the Committee will notify the </w:t>
      </w:r>
      <w:proofErr w:type="gramStart"/>
      <w:r w:rsidRPr="0001540C">
        <w:rPr>
          <w:sz w:val="20"/>
          <w:szCs w:val="20"/>
        </w:rPr>
        <w:t>student</w:t>
      </w:r>
      <w:proofErr w:type="gramEnd"/>
      <w:r w:rsidRPr="0001540C">
        <w:rPr>
          <w:sz w:val="20"/>
          <w:szCs w:val="20"/>
        </w:rPr>
        <w:t xml:space="preserve"> in writing of the accusation, provide information regarding the review process, and inform the </w:t>
      </w:r>
      <w:proofErr w:type="gramStart"/>
      <w:r w:rsidRPr="0001540C">
        <w:rPr>
          <w:sz w:val="20"/>
          <w:szCs w:val="20"/>
        </w:rPr>
        <w:t>student</w:t>
      </w:r>
      <w:proofErr w:type="gramEnd"/>
      <w:r w:rsidRPr="0001540C">
        <w:rPr>
          <w:sz w:val="20"/>
          <w:szCs w:val="20"/>
        </w:rPr>
        <w:t xml:space="preserve"> of their rights and responsibilities throughout the proceedings.</w:t>
      </w:r>
    </w:p>
    <w:p w14:paraId="24EFE037" w14:textId="77777777" w:rsidR="00D81755" w:rsidRPr="0001540C" w:rsidRDefault="0073296A">
      <w:pPr>
        <w:pStyle w:val="Heading2"/>
        <w:keepNext w:val="0"/>
        <w:keepLines w:val="0"/>
        <w:spacing w:before="360" w:after="80"/>
        <w:rPr>
          <w:b w:val="0"/>
          <w:bCs w:val="0"/>
        </w:rPr>
      </w:pPr>
      <w:bookmarkStart w:id="81" w:name="_heading=h.5vxjklarm2x6" w:colFirst="0" w:colLast="0"/>
      <w:bookmarkEnd w:id="81"/>
      <w:r w:rsidRPr="0001540C">
        <w:rPr>
          <w:b w:val="0"/>
          <w:bCs w:val="0"/>
        </w:rPr>
        <w:t>Procedures for Addressing Uncontested Violations</w:t>
      </w:r>
    </w:p>
    <w:p w14:paraId="24EFE038" w14:textId="77777777" w:rsidR="00D81755" w:rsidRPr="0001540C" w:rsidRDefault="0073296A">
      <w:pPr>
        <w:spacing w:before="60" w:after="100"/>
        <w:rPr>
          <w:sz w:val="20"/>
          <w:szCs w:val="20"/>
        </w:rPr>
      </w:pPr>
      <w:r w:rsidRPr="0001540C">
        <w:rPr>
          <w:sz w:val="20"/>
          <w:szCs w:val="20"/>
        </w:rPr>
        <w:t xml:space="preserve">When a faculty member identifies a suspected violation of this policy and the student does not dispute the allegation, the matter may be resolved directly between the faculty member and the student, with the involvement of the Program Director, without proceeding </w:t>
      </w:r>
      <w:proofErr w:type="gramStart"/>
      <w:r w:rsidRPr="0001540C">
        <w:rPr>
          <w:sz w:val="20"/>
          <w:szCs w:val="20"/>
        </w:rPr>
        <w:t>to</w:t>
      </w:r>
      <w:proofErr w:type="gramEnd"/>
      <w:r w:rsidRPr="0001540C">
        <w:rPr>
          <w:sz w:val="20"/>
          <w:szCs w:val="20"/>
        </w:rPr>
        <w:t xml:space="preserve"> the full Committee review and hearing process described below.</w:t>
      </w:r>
    </w:p>
    <w:p w14:paraId="24EFE039" w14:textId="77777777" w:rsidR="00D81755" w:rsidRPr="0001540C" w:rsidRDefault="0073296A">
      <w:pPr>
        <w:spacing w:before="60" w:after="100"/>
        <w:rPr>
          <w:sz w:val="20"/>
          <w:szCs w:val="20"/>
        </w:rPr>
      </w:pPr>
      <w:r w:rsidRPr="0001540C">
        <w:rPr>
          <w:sz w:val="20"/>
          <w:szCs w:val="20"/>
        </w:rPr>
        <w:t>To resolve an uncontested violation within the classroom, the following steps apply:</w:t>
      </w:r>
    </w:p>
    <w:p w14:paraId="24EFE03A" w14:textId="77777777" w:rsidR="00D81755" w:rsidRPr="0001540C" w:rsidRDefault="0073296A">
      <w:pPr>
        <w:spacing w:before="240"/>
        <w:ind w:left="720"/>
        <w:rPr>
          <w:sz w:val="20"/>
          <w:szCs w:val="20"/>
        </w:rPr>
      </w:pPr>
      <w:r w:rsidRPr="0001540C">
        <w:rPr>
          <w:sz w:val="20"/>
          <w:szCs w:val="20"/>
        </w:rPr>
        <w:t xml:space="preserve">● </w:t>
      </w:r>
      <w:r w:rsidRPr="0001540C">
        <w:rPr>
          <w:sz w:val="20"/>
          <w:szCs w:val="20"/>
        </w:rPr>
        <w:tab/>
        <w:t>The faculty member discusses the alleged violation and supporting evidence directly with the student.</w:t>
      </w:r>
    </w:p>
    <w:p w14:paraId="24EFE03B" w14:textId="77777777" w:rsidR="00D81755" w:rsidRPr="0001540C" w:rsidRDefault="0073296A">
      <w:pPr>
        <w:ind w:left="720"/>
        <w:rPr>
          <w:sz w:val="20"/>
          <w:szCs w:val="20"/>
        </w:rPr>
      </w:pPr>
      <w:r w:rsidRPr="0001540C">
        <w:rPr>
          <w:sz w:val="20"/>
          <w:szCs w:val="20"/>
        </w:rPr>
        <w:t xml:space="preserve">● </w:t>
      </w:r>
      <w:r w:rsidRPr="0001540C">
        <w:rPr>
          <w:sz w:val="20"/>
          <w:szCs w:val="20"/>
        </w:rPr>
        <w:tab/>
        <w:t>If the student does not dispute the allegation, the student signs a written Acknowledgment of Responsibility affirming that they violated the Academic Integrity Policy as alleged.</w:t>
      </w:r>
    </w:p>
    <w:p w14:paraId="24EFE03C" w14:textId="77777777" w:rsidR="00D81755" w:rsidRPr="0001540C" w:rsidRDefault="0073296A">
      <w:pPr>
        <w:ind w:left="720"/>
        <w:rPr>
          <w:sz w:val="20"/>
          <w:szCs w:val="20"/>
        </w:rPr>
      </w:pPr>
      <w:r w:rsidRPr="0001540C">
        <w:rPr>
          <w:sz w:val="20"/>
          <w:szCs w:val="20"/>
        </w:rPr>
        <w:t xml:space="preserve">● </w:t>
      </w:r>
      <w:r w:rsidRPr="0001540C">
        <w:rPr>
          <w:sz w:val="20"/>
          <w:szCs w:val="20"/>
        </w:rPr>
        <w:tab/>
        <w:t>The faculty member determines the appropriate sanction(s) consistent with the course syllabus and the sanctions outlined in Step 5 of this policy.</w:t>
      </w:r>
    </w:p>
    <w:p w14:paraId="24EFE03D" w14:textId="77777777" w:rsidR="00D81755" w:rsidRPr="0001540C" w:rsidRDefault="0073296A">
      <w:pPr>
        <w:spacing w:after="240"/>
        <w:ind w:left="720"/>
        <w:rPr>
          <w:sz w:val="20"/>
          <w:szCs w:val="20"/>
        </w:rPr>
      </w:pPr>
      <w:r w:rsidRPr="0001540C">
        <w:rPr>
          <w:sz w:val="20"/>
          <w:szCs w:val="20"/>
        </w:rPr>
        <w:t xml:space="preserve">● </w:t>
      </w:r>
      <w:r w:rsidRPr="0001540C">
        <w:rPr>
          <w:sz w:val="20"/>
          <w:szCs w:val="20"/>
        </w:rPr>
        <w:tab/>
        <w:t xml:space="preserve">The faculty member submits the signed Acknowledgement of Responsibility and the sanction(s) imposed </w:t>
      </w:r>
      <w:proofErr w:type="gramStart"/>
      <w:r w:rsidRPr="0001540C">
        <w:rPr>
          <w:sz w:val="20"/>
          <w:szCs w:val="20"/>
        </w:rPr>
        <w:t>to</w:t>
      </w:r>
      <w:proofErr w:type="gramEnd"/>
      <w:r w:rsidRPr="0001540C">
        <w:rPr>
          <w:sz w:val="20"/>
          <w:szCs w:val="20"/>
        </w:rPr>
        <w:t xml:space="preserve"> the Program Director and the Chair of the Committee for recordkeeping within ten (10) business days.</w:t>
      </w:r>
    </w:p>
    <w:p w14:paraId="24EFE03E" w14:textId="77777777" w:rsidR="00D81755" w:rsidRPr="0001540C" w:rsidRDefault="0073296A">
      <w:pPr>
        <w:spacing w:before="60" w:after="100"/>
        <w:rPr>
          <w:sz w:val="20"/>
          <w:szCs w:val="20"/>
        </w:rPr>
      </w:pPr>
      <w:r w:rsidRPr="0001540C">
        <w:rPr>
          <w:sz w:val="20"/>
          <w:szCs w:val="20"/>
        </w:rPr>
        <w:t>The Chair will issue the student a written letter within five (5) business days of receiving the signed acknowledgment. This letter will confirm that the student has been found responsible for violating the Academic Integrity Policy, describe the violation, state the sanction(s) imposed, and be placed in the student's permanent academic file consistent with Section VII.</w:t>
      </w:r>
    </w:p>
    <w:p w14:paraId="24EFE03F" w14:textId="77777777" w:rsidR="00D81755" w:rsidRPr="0001540C" w:rsidRDefault="0073296A">
      <w:pPr>
        <w:spacing w:before="60" w:after="100"/>
        <w:rPr>
          <w:sz w:val="20"/>
          <w:szCs w:val="20"/>
        </w:rPr>
      </w:pPr>
      <w:r w:rsidRPr="0001540C">
        <w:rPr>
          <w:sz w:val="20"/>
          <w:szCs w:val="20"/>
        </w:rPr>
        <w:t>A student who resolves a violation under this section waives the right to a formal hearing on the question of responsibility but retains the right to appeal the sanction imposed, consistent with the grounds and procedures outlined in Section V.</w:t>
      </w:r>
    </w:p>
    <w:p w14:paraId="24EFE040" w14:textId="77777777" w:rsidR="00D81755" w:rsidRPr="0001540C" w:rsidRDefault="0073296A">
      <w:pPr>
        <w:pStyle w:val="Heading2"/>
        <w:keepNext w:val="0"/>
        <w:keepLines w:val="0"/>
        <w:spacing w:before="360" w:after="80"/>
        <w:rPr>
          <w:b w:val="0"/>
          <w:bCs w:val="0"/>
        </w:rPr>
      </w:pPr>
      <w:bookmarkStart w:id="82" w:name="_heading=h.f240ce9yen8o" w:colFirst="0" w:colLast="0"/>
      <w:bookmarkEnd w:id="82"/>
      <w:r w:rsidRPr="0001540C">
        <w:rPr>
          <w:b w:val="0"/>
          <w:bCs w:val="0"/>
        </w:rPr>
        <w:t>Step 2 – Student Notification and Response Opportunity</w:t>
      </w:r>
    </w:p>
    <w:p w14:paraId="24EFE041" w14:textId="77777777" w:rsidR="00D81755" w:rsidRPr="0001540C" w:rsidRDefault="0073296A">
      <w:pPr>
        <w:spacing w:before="60" w:after="100"/>
        <w:rPr>
          <w:sz w:val="20"/>
          <w:szCs w:val="20"/>
        </w:rPr>
      </w:pPr>
      <w:r w:rsidRPr="0001540C">
        <w:rPr>
          <w:sz w:val="20"/>
          <w:szCs w:val="20"/>
        </w:rPr>
        <w:t>Upon notification of the accusation, the student will have five (5) business days to submit a written response to the Committee. The students’ response may include a rebuttal, clarifying information, or any additional evidence the student believes is relevant to the Committee’s review. Failure to respond within this timeframe does not prevent the Committee from proceeding.</w:t>
      </w:r>
      <w:r w:rsidRPr="0001540C">
        <w:rPr>
          <w:sz w:val="20"/>
          <w:szCs w:val="20"/>
        </w:rPr>
        <w:br/>
      </w:r>
      <w:r w:rsidRPr="0001540C">
        <w:rPr>
          <w:sz w:val="20"/>
          <w:szCs w:val="20"/>
        </w:rPr>
        <w:br/>
        <w:t xml:space="preserve"> Step 3 – Committee Review and Determination</w:t>
      </w:r>
    </w:p>
    <w:p w14:paraId="24EFE042" w14:textId="77777777" w:rsidR="00D81755" w:rsidRPr="0001540C" w:rsidRDefault="0073296A">
      <w:pPr>
        <w:spacing w:before="60" w:after="100"/>
        <w:rPr>
          <w:sz w:val="20"/>
          <w:szCs w:val="20"/>
        </w:rPr>
      </w:pPr>
      <w:r w:rsidRPr="0001540C">
        <w:rPr>
          <w:sz w:val="20"/>
          <w:szCs w:val="20"/>
        </w:rPr>
        <w:t>The Committee will review all submitted documentation, including the faculty formal accusation and the students’ written response. The Committee will determine whether the accusation rises to the level of academic dishonesty as defined in Section II of this policy.</w:t>
      </w:r>
    </w:p>
    <w:p w14:paraId="24EFE043" w14:textId="77777777" w:rsidR="00D81755" w:rsidRPr="0001540C" w:rsidRDefault="0073296A">
      <w:pPr>
        <w:spacing w:before="60" w:after="100"/>
        <w:rPr>
          <w:sz w:val="20"/>
          <w:szCs w:val="20"/>
        </w:rPr>
      </w:pPr>
      <w:r w:rsidRPr="0001540C">
        <w:rPr>
          <w:sz w:val="20"/>
          <w:szCs w:val="20"/>
        </w:rPr>
        <w:t>If the Committee determines that the evidence does not substantiate the accusation, the matter is closed with no sanction, and the student is notified in writing within five (5) business days of the Committee’s decision.</w:t>
      </w:r>
    </w:p>
    <w:p w14:paraId="24EFE044" w14:textId="77777777" w:rsidR="00D81755" w:rsidRPr="0001540C" w:rsidRDefault="0073296A">
      <w:pPr>
        <w:spacing w:before="60" w:after="100"/>
        <w:rPr>
          <w:sz w:val="20"/>
          <w:szCs w:val="20"/>
        </w:rPr>
      </w:pPr>
      <w:r w:rsidRPr="0001540C">
        <w:rPr>
          <w:sz w:val="20"/>
          <w:szCs w:val="20"/>
        </w:rPr>
        <w:t>If the Committee determines that academic dishonesty may have occurred, the process proceeds to Step 4.</w:t>
      </w:r>
    </w:p>
    <w:p w14:paraId="24EFE045" w14:textId="77777777" w:rsidR="00D81755" w:rsidRPr="0001540C" w:rsidRDefault="0073296A">
      <w:pPr>
        <w:pStyle w:val="Heading2"/>
        <w:keepNext w:val="0"/>
        <w:keepLines w:val="0"/>
        <w:spacing w:before="360" w:after="80"/>
        <w:rPr>
          <w:b w:val="0"/>
          <w:bCs w:val="0"/>
        </w:rPr>
      </w:pPr>
      <w:bookmarkStart w:id="83" w:name="_heading=h.u190d3k0dowc" w:colFirst="0" w:colLast="0"/>
      <w:bookmarkEnd w:id="83"/>
      <w:r w:rsidRPr="0001540C">
        <w:rPr>
          <w:b w:val="0"/>
          <w:bCs w:val="0"/>
        </w:rPr>
        <w:t>Step 4 – Formal Hearing</w:t>
      </w:r>
    </w:p>
    <w:p w14:paraId="24EFE046" w14:textId="77777777" w:rsidR="00D81755" w:rsidRPr="0001540C" w:rsidRDefault="0073296A">
      <w:pPr>
        <w:spacing w:before="60" w:after="100"/>
        <w:rPr>
          <w:sz w:val="20"/>
          <w:szCs w:val="20"/>
        </w:rPr>
      </w:pPr>
      <w:r w:rsidRPr="0001540C">
        <w:rPr>
          <w:sz w:val="20"/>
          <w:szCs w:val="20"/>
        </w:rPr>
        <w:t>If the Committee finds sufficient basis to proceed, a formal hearing will be scheduled. The following procedures govern the hearing:</w:t>
      </w:r>
    </w:p>
    <w:p w14:paraId="24EFE047" w14:textId="77777777" w:rsidR="00D81755" w:rsidRPr="0001540C" w:rsidRDefault="0073296A">
      <w:pPr>
        <w:spacing w:before="40" w:after="40"/>
        <w:ind w:left="720"/>
        <w:rPr>
          <w:sz w:val="20"/>
          <w:szCs w:val="20"/>
        </w:rPr>
      </w:pPr>
      <w:r w:rsidRPr="0001540C">
        <w:rPr>
          <w:sz w:val="20"/>
          <w:szCs w:val="20"/>
        </w:rPr>
        <w:t>●     The student will be notified in writing of the hearing date, time, and location no fewer than five (5) business days before the scheduled hearing.</w:t>
      </w:r>
    </w:p>
    <w:p w14:paraId="24EFE048" w14:textId="77777777" w:rsidR="00D81755" w:rsidRPr="0001540C" w:rsidRDefault="0073296A">
      <w:pPr>
        <w:spacing w:before="40" w:after="40"/>
        <w:ind w:left="720"/>
        <w:rPr>
          <w:sz w:val="20"/>
          <w:szCs w:val="20"/>
        </w:rPr>
      </w:pPr>
      <w:r w:rsidRPr="0001540C">
        <w:rPr>
          <w:sz w:val="20"/>
          <w:szCs w:val="20"/>
        </w:rPr>
        <w:t>●     The student has the right to attend the hearing.</w:t>
      </w:r>
    </w:p>
    <w:p w14:paraId="24EFE049" w14:textId="77777777" w:rsidR="00D81755" w:rsidRPr="0001540C" w:rsidRDefault="0073296A">
      <w:pPr>
        <w:spacing w:before="40" w:after="40"/>
        <w:ind w:left="720"/>
        <w:rPr>
          <w:sz w:val="20"/>
          <w:szCs w:val="20"/>
        </w:rPr>
      </w:pPr>
      <w:r w:rsidRPr="0001540C">
        <w:rPr>
          <w:sz w:val="20"/>
          <w:szCs w:val="20"/>
        </w:rPr>
        <w:t>●     The faculty member who submitted the formal accusation may choose to attend but is not required to do so.</w:t>
      </w:r>
    </w:p>
    <w:p w14:paraId="24EFE04A" w14:textId="77777777" w:rsidR="00D81755" w:rsidRPr="0001540C" w:rsidRDefault="0073296A">
      <w:pPr>
        <w:spacing w:before="40" w:after="40"/>
        <w:ind w:left="720"/>
        <w:rPr>
          <w:sz w:val="20"/>
          <w:szCs w:val="20"/>
        </w:rPr>
      </w:pPr>
      <w:r w:rsidRPr="0001540C">
        <w:rPr>
          <w:sz w:val="20"/>
          <w:szCs w:val="20"/>
        </w:rPr>
        <w:t>●     The Committee will present all evidence and allow the student to respond verbally.</w:t>
      </w:r>
    </w:p>
    <w:p w14:paraId="24EFE04B" w14:textId="77777777" w:rsidR="00D81755" w:rsidRPr="0001540C" w:rsidRDefault="0073296A">
      <w:pPr>
        <w:spacing w:before="40" w:after="40"/>
        <w:ind w:left="720"/>
        <w:rPr>
          <w:sz w:val="20"/>
          <w:szCs w:val="20"/>
        </w:rPr>
      </w:pPr>
      <w:r w:rsidRPr="0001540C">
        <w:rPr>
          <w:sz w:val="20"/>
          <w:szCs w:val="20"/>
        </w:rPr>
        <w:t>●     The Committee will deliberate in executive session and reach a decision by ⅔ majority vote. All deliberations are confidential.</w:t>
      </w:r>
    </w:p>
    <w:p w14:paraId="24EFE04C" w14:textId="77777777" w:rsidR="00D81755" w:rsidRPr="0001540C" w:rsidRDefault="0073296A">
      <w:pPr>
        <w:spacing w:before="40" w:after="40"/>
        <w:ind w:left="720"/>
        <w:rPr>
          <w:sz w:val="20"/>
          <w:szCs w:val="20"/>
        </w:rPr>
      </w:pPr>
      <w:r w:rsidRPr="0001540C">
        <w:rPr>
          <w:sz w:val="20"/>
          <w:szCs w:val="20"/>
        </w:rPr>
        <w:t>●     The Committee’s decision and the rationale for the sanction imposed will be communicated to the student in writing within five (5) business days of the hearing.</w:t>
      </w:r>
    </w:p>
    <w:p w14:paraId="24EFE04E" w14:textId="31955A36" w:rsidR="00D81755" w:rsidRPr="0001540C" w:rsidRDefault="0073296A" w:rsidP="002D4442">
      <w:pPr>
        <w:spacing w:before="40" w:after="40"/>
        <w:ind w:left="720"/>
        <w:rPr>
          <w:sz w:val="20"/>
          <w:szCs w:val="20"/>
        </w:rPr>
      </w:pPr>
      <w:r w:rsidRPr="0001540C">
        <w:rPr>
          <w:sz w:val="20"/>
          <w:szCs w:val="20"/>
        </w:rPr>
        <w:lastRenderedPageBreak/>
        <w:t>●     All records of the hearing, including documentation and correspondence, will be maintained in strict confidence in the student’s academic file.</w:t>
      </w:r>
    </w:p>
    <w:p w14:paraId="24EFE04F" w14:textId="77777777" w:rsidR="00D81755" w:rsidRPr="0001540C" w:rsidRDefault="0073296A">
      <w:pPr>
        <w:pStyle w:val="Heading2"/>
        <w:keepNext w:val="0"/>
        <w:keepLines w:val="0"/>
        <w:spacing w:before="360" w:after="80"/>
        <w:rPr>
          <w:b w:val="0"/>
          <w:bCs w:val="0"/>
        </w:rPr>
      </w:pPr>
      <w:bookmarkStart w:id="84" w:name="_heading=h.nv3hjg3uo0zx" w:colFirst="0" w:colLast="0"/>
      <w:bookmarkEnd w:id="84"/>
      <w:r w:rsidRPr="0001540C">
        <w:rPr>
          <w:b w:val="0"/>
          <w:bCs w:val="0"/>
        </w:rPr>
        <w:t>Step 5 – Sanctions</w:t>
      </w:r>
    </w:p>
    <w:p w14:paraId="24EFE050" w14:textId="77777777" w:rsidR="00D81755" w:rsidRPr="0001540C" w:rsidRDefault="0073296A">
      <w:pPr>
        <w:spacing w:before="60" w:after="100"/>
        <w:rPr>
          <w:sz w:val="20"/>
          <w:szCs w:val="20"/>
        </w:rPr>
      </w:pPr>
      <w:r w:rsidRPr="0001540C">
        <w:rPr>
          <w:sz w:val="20"/>
          <w:szCs w:val="20"/>
        </w:rPr>
        <w:t xml:space="preserve">If the Committee determines that academic dishonesty has occurred, it will support the sanctions outlined in the faculty member's course syllabus. The student will be required to complete the University Q Course. </w:t>
      </w:r>
      <w:proofErr w:type="gramStart"/>
      <w:r w:rsidRPr="0001540C">
        <w:rPr>
          <w:sz w:val="20"/>
          <w:szCs w:val="20"/>
        </w:rPr>
        <w:t>Sanctions are determined by the</w:t>
      </w:r>
      <w:proofErr w:type="gramEnd"/>
      <w:r w:rsidRPr="0001540C">
        <w:rPr>
          <w:sz w:val="20"/>
          <w:szCs w:val="20"/>
        </w:rPr>
        <w:t xml:space="preserve"> faculty member who filed the formal accusation per the course syllabus. The range of sanctions may include, but is not limited to:</w:t>
      </w:r>
    </w:p>
    <w:p w14:paraId="24EFE051" w14:textId="77777777" w:rsidR="00D81755" w:rsidRPr="0001540C" w:rsidRDefault="0073296A">
      <w:pPr>
        <w:pStyle w:val="Heading3"/>
        <w:keepNext w:val="0"/>
        <w:spacing w:before="280" w:after="80"/>
        <w:rPr>
          <w:rFonts w:ascii="Times New Roman" w:eastAsia="Times New Roman" w:hAnsi="Times New Roman" w:cs="Times New Roman"/>
          <w:b w:val="0"/>
          <w:bCs w:val="0"/>
          <w:sz w:val="20"/>
          <w:szCs w:val="20"/>
        </w:rPr>
      </w:pPr>
      <w:bookmarkStart w:id="85" w:name="_heading=h.6n1di75iqtha" w:colFirst="0" w:colLast="0"/>
      <w:bookmarkEnd w:id="85"/>
      <w:r w:rsidRPr="0001540C">
        <w:rPr>
          <w:rFonts w:ascii="Times New Roman" w:eastAsia="Times New Roman" w:hAnsi="Times New Roman" w:cs="Times New Roman"/>
          <w:b w:val="0"/>
          <w:bCs w:val="0"/>
          <w:sz w:val="20"/>
          <w:szCs w:val="20"/>
        </w:rPr>
        <w:t>First Offense</w:t>
      </w:r>
    </w:p>
    <w:p w14:paraId="24EFE052" w14:textId="77777777" w:rsidR="00D81755" w:rsidRPr="0001540C" w:rsidRDefault="0073296A">
      <w:pPr>
        <w:spacing w:before="40" w:after="40"/>
        <w:ind w:left="720"/>
        <w:rPr>
          <w:sz w:val="20"/>
          <w:szCs w:val="20"/>
        </w:rPr>
      </w:pPr>
      <w:r w:rsidRPr="0001540C">
        <w:rPr>
          <w:sz w:val="20"/>
          <w:szCs w:val="20"/>
        </w:rPr>
        <w:t>•       A grade of zero (0) or “F” on the assignment, examination, or project for which the violation occurred (minimum sanction).</w:t>
      </w:r>
    </w:p>
    <w:p w14:paraId="24EFE053" w14:textId="77777777" w:rsidR="00D81755" w:rsidRPr="0001540C" w:rsidRDefault="0073296A">
      <w:pPr>
        <w:spacing w:before="40" w:after="40"/>
        <w:ind w:left="720"/>
        <w:rPr>
          <w:sz w:val="20"/>
          <w:szCs w:val="20"/>
        </w:rPr>
      </w:pPr>
      <w:r w:rsidRPr="0001540C">
        <w:rPr>
          <w:sz w:val="20"/>
          <w:szCs w:val="20"/>
        </w:rPr>
        <w:t>•       A final course grade of “F” (in cases where the severity of the violation warrants it).</w:t>
      </w:r>
    </w:p>
    <w:p w14:paraId="24EFE054" w14:textId="77777777" w:rsidR="00D81755" w:rsidRPr="0001540C" w:rsidRDefault="0073296A">
      <w:pPr>
        <w:spacing w:before="40" w:after="40"/>
        <w:ind w:left="720"/>
        <w:rPr>
          <w:sz w:val="20"/>
          <w:szCs w:val="20"/>
        </w:rPr>
      </w:pPr>
      <w:r w:rsidRPr="0001540C">
        <w:rPr>
          <w:sz w:val="20"/>
          <w:szCs w:val="20"/>
        </w:rPr>
        <w:t>•       Required completion of remediation activities, such as an online academic integrity training module or written reflection assignment on academic honesty.</w:t>
      </w:r>
    </w:p>
    <w:p w14:paraId="24EFE056" w14:textId="366320F1" w:rsidR="00D81755" w:rsidRPr="0001540C" w:rsidRDefault="0073296A" w:rsidP="002D4442">
      <w:pPr>
        <w:spacing w:before="40" w:after="40"/>
        <w:ind w:left="720"/>
        <w:rPr>
          <w:sz w:val="20"/>
          <w:szCs w:val="20"/>
        </w:rPr>
      </w:pPr>
      <w:r w:rsidRPr="0001540C">
        <w:rPr>
          <w:sz w:val="20"/>
          <w:szCs w:val="20"/>
        </w:rPr>
        <w:t>•       A written record of the violation is placed in the student’s academic file maintained by the Program in Public Health.</w:t>
      </w:r>
    </w:p>
    <w:p w14:paraId="24EFE057" w14:textId="77777777" w:rsidR="00D81755" w:rsidRPr="0001540C" w:rsidRDefault="0073296A">
      <w:pPr>
        <w:pStyle w:val="Heading3"/>
        <w:keepNext w:val="0"/>
        <w:spacing w:before="280" w:after="80"/>
        <w:rPr>
          <w:rFonts w:ascii="Times New Roman" w:eastAsia="Times New Roman" w:hAnsi="Times New Roman" w:cs="Times New Roman"/>
          <w:b w:val="0"/>
          <w:bCs w:val="0"/>
          <w:sz w:val="20"/>
          <w:szCs w:val="20"/>
        </w:rPr>
      </w:pPr>
      <w:bookmarkStart w:id="86" w:name="_heading=h.lhfz2hr4gupv" w:colFirst="0" w:colLast="0"/>
      <w:bookmarkEnd w:id="86"/>
      <w:r w:rsidRPr="0001540C">
        <w:rPr>
          <w:rFonts w:ascii="Times New Roman" w:eastAsia="Times New Roman" w:hAnsi="Times New Roman" w:cs="Times New Roman"/>
          <w:b w:val="0"/>
          <w:bCs w:val="0"/>
          <w:sz w:val="20"/>
          <w:szCs w:val="20"/>
        </w:rPr>
        <w:t>Second Offense</w:t>
      </w:r>
    </w:p>
    <w:p w14:paraId="24EFE058" w14:textId="77777777" w:rsidR="00D81755" w:rsidRPr="0001540C" w:rsidRDefault="0073296A">
      <w:pPr>
        <w:spacing w:before="40" w:after="40"/>
        <w:ind w:left="720"/>
        <w:rPr>
          <w:sz w:val="20"/>
          <w:szCs w:val="20"/>
        </w:rPr>
      </w:pPr>
      <w:r w:rsidRPr="0001540C">
        <w:rPr>
          <w:sz w:val="20"/>
          <w:szCs w:val="20"/>
        </w:rPr>
        <w:t>•       The expectation is dismissal from the Program in Public Health, with the reason for dismissal noted on the student’s permanent academic transcript.</w:t>
      </w:r>
    </w:p>
    <w:p w14:paraId="24EFE059" w14:textId="77777777" w:rsidR="00D81755" w:rsidRPr="0001540C" w:rsidRDefault="0073296A">
      <w:pPr>
        <w:spacing w:before="80" w:after="80"/>
        <w:rPr>
          <w:sz w:val="20"/>
          <w:szCs w:val="20"/>
        </w:rPr>
      </w:pPr>
      <w:r w:rsidRPr="0001540C">
        <w:rPr>
          <w:sz w:val="20"/>
          <w:szCs w:val="20"/>
        </w:rPr>
        <w:t xml:space="preserve"> </w:t>
      </w:r>
    </w:p>
    <w:p w14:paraId="24EFE05A" w14:textId="77777777" w:rsidR="00D81755" w:rsidRPr="0001540C" w:rsidRDefault="0073296A">
      <w:pPr>
        <w:pStyle w:val="Heading3"/>
        <w:keepNext w:val="0"/>
        <w:spacing w:before="280" w:after="80"/>
        <w:rPr>
          <w:rFonts w:ascii="Times New Roman" w:eastAsia="Times New Roman" w:hAnsi="Times New Roman" w:cs="Times New Roman"/>
          <w:b w:val="0"/>
          <w:bCs w:val="0"/>
          <w:sz w:val="20"/>
          <w:szCs w:val="20"/>
        </w:rPr>
      </w:pPr>
      <w:bookmarkStart w:id="87" w:name="_heading=h.n3jfhysejma1" w:colFirst="0" w:colLast="0"/>
      <w:bookmarkEnd w:id="87"/>
      <w:r w:rsidRPr="0001540C">
        <w:rPr>
          <w:rFonts w:ascii="Times New Roman" w:eastAsia="Times New Roman" w:hAnsi="Times New Roman" w:cs="Times New Roman"/>
          <w:b w:val="0"/>
          <w:bCs w:val="0"/>
          <w:sz w:val="20"/>
          <w:szCs w:val="20"/>
        </w:rPr>
        <w:t>Aggravating Circumstances</w:t>
      </w:r>
    </w:p>
    <w:p w14:paraId="24EFE05B" w14:textId="098FE028" w:rsidR="00D81755" w:rsidRPr="0001540C" w:rsidRDefault="0073296A">
      <w:pPr>
        <w:spacing w:before="60" w:after="100"/>
        <w:rPr>
          <w:sz w:val="20"/>
          <w:szCs w:val="20"/>
        </w:rPr>
      </w:pPr>
      <w:r w:rsidRPr="0001540C">
        <w:rPr>
          <w:sz w:val="20"/>
          <w:szCs w:val="20"/>
        </w:rPr>
        <w:t xml:space="preserve">The Committee may recommend more severe </w:t>
      </w:r>
      <w:proofErr w:type="gramStart"/>
      <w:r w:rsidRPr="0001540C">
        <w:rPr>
          <w:sz w:val="20"/>
          <w:szCs w:val="20"/>
        </w:rPr>
        <w:t>sanctions—</w:t>
      </w:r>
      <w:proofErr w:type="gramEnd"/>
      <w:r w:rsidRPr="0001540C">
        <w:rPr>
          <w:sz w:val="20"/>
          <w:szCs w:val="20"/>
        </w:rPr>
        <w:t xml:space="preserve">including dismissal—for a first offense in cases involving, but not limited </w:t>
      </w:r>
      <w:r w:rsidR="002D4442" w:rsidRPr="0001540C">
        <w:rPr>
          <w:sz w:val="20"/>
          <w:szCs w:val="20"/>
        </w:rPr>
        <w:t>to, extensive</w:t>
      </w:r>
      <w:r w:rsidRPr="0001540C">
        <w:rPr>
          <w:sz w:val="20"/>
          <w:szCs w:val="20"/>
        </w:rPr>
        <w:t>, deliberate, or premeditated dishonesty; falsification of clinical or field data; or misconduct that poses a direct risk to public health or patient safety.</w:t>
      </w:r>
    </w:p>
    <w:p w14:paraId="24EFE05C" w14:textId="77777777" w:rsidR="00D81755" w:rsidRPr="0001540C" w:rsidRDefault="0073296A">
      <w:pPr>
        <w:spacing w:before="80" w:after="80"/>
        <w:rPr>
          <w:color w:val="1F3864"/>
          <w:sz w:val="20"/>
          <w:szCs w:val="20"/>
        </w:rPr>
      </w:pPr>
      <w:r w:rsidRPr="0001540C">
        <w:rPr>
          <w:sz w:val="20"/>
          <w:szCs w:val="20"/>
        </w:rPr>
        <w:br/>
        <w:t xml:space="preserve"> </w:t>
      </w:r>
      <w:r w:rsidRPr="0001540C">
        <w:rPr>
          <w:color w:val="1F3864"/>
          <w:sz w:val="20"/>
          <w:szCs w:val="20"/>
        </w:rPr>
        <w:t>Impact of Pending Academic Integrity Cases on Course Grades, Degree Conferral, and Academic Standing</w:t>
      </w:r>
    </w:p>
    <w:p w14:paraId="24EFE05D" w14:textId="77777777" w:rsidR="00D81755" w:rsidRPr="0001540C" w:rsidRDefault="0073296A">
      <w:pPr>
        <w:spacing w:before="240" w:after="240"/>
        <w:rPr>
          <w:sz w:val="20"/>
          <w:szCs w:val="20"/>
        </w:rPr>
      </w:pPr>
      <w:r w:rsidRPr="0001540C">
        <w:rPr>
          <w:sz w:val="20"/>
          <w:szCs w:val="20"/>
        </w:rPr>
        <w:t>When a student is involved in a pending academic integrity case, no final grade shall be entered for the assignment or course in question until the Program in Public Health (PPH) Academic Integrity and Grievance Committee has completed its review and rendered a decision, including the resolution of any applicable appeals. Faculty members will not assign a grade designation, until the matter is resolved.</w:t>
      </w:r>
    </w:p>
    <w:p w14:paraId="24EFE05E" w14:textId="77777777" w:rsidR="00D81755" w:rsidRPr="0001540C" w:rsidRDefault="0073296A">
      <w:pPr>
        <w:spacing w:before="240" w:after="240"/>
        <w:rPr>
          <w:sz w:val="20"/>
          <w:szCs w:val="20"/>
        </w:rPr>
      </w:pPr>
      <w:r w:rsidRPr="0001540C">
        <w:rPr>
          <w:sz w:val="20"/>
          <w:szCs w:val="20"/>
        </w:rPr>
        <w:t>Students are expected to continue attending class, completing coursework, and fulfilling all course requirements while an academic integrity case is pending unless otherwise notified in writing. Failure to complete coursework during this period may adversely affect the student's final grade independent of the outcome of the academic integrity proceedings.</w:t>
      </w:r>
    </w:p>
    <w:p w14:paraId="24EFE05F" w14:textId="77777777" w:rsidR="00D81755" w:rsidRPr="0001540C" w:rsidRDefault="0073296A">
      <w:pPr>
        <w:spacing w:before="240" w:after="240"/>
        <w:rPr>
          <w:sz w:val="20"/>
          <w:szCs w:val="20"/>
        </w:rPr>
      </w:pPr>
      <w:r w:rsidRPr="0001540C">
        <w:rPr>
          <w:sz w:val="20"/>
          <w:szCs w:val="20"/>
        </w:rPr>
        <w:t>A pending academic integrity case may delay academic and administrative actions, including but not limited to:</w:t>
      </w:r>
    </w:p>
    <w:p w14:paraId="24EFE060" w14:textId="77777777" w:rsidR="00D81755" w:rsidRPr="0001540C" w:rsidRDefault="0073296A">
      <w:pPr>
        <w:spacing w:before="240"/>
        <w:ind w:left="720"/>
        <w:rPr>
          <w:sz w:val="20"/>
          <w:szCs w:val="20"/>
        </w:rPr>
      </w:pPr>
      <w:r w:rsidRPr="0001540C">
        <w:rPr>
          <w:sz w:val="20"/>
          <w:szCs w:val="20"/>
        </w:rPr>
        <w:t>●     The posting of final course grades;</w:t>
      </w:r>
    </w:p>
    <w:p w14:paraId="24EFE061" w14:textId="77777777" w:rsidR="00D81755" w:rsidRPr="0001540C" w:rsidRDefault="0073296A">
      <w:pPr>
        <w:ind w:left="720"/>
        <w:rPr>
          <w:sz w:val="20"/>
          <w:szCs w:val="20"/>
        </w:rPr>
      </w:pPr>
      <w:r w:rsidRPr="0001540C">
        <w:rPr>
          <w:sz w:val="20"/>
          <w:szCs w:val="20"/>
        </w:rPr>
        <w:t>●     Degree conferral and graduation certification;</w:t>
      </w:r>
    </w:p>
    <w:p w14:paraId="24EFE062" w14:textId="77777777" w:rsidR="00D81755" w:rsidRPr="0001540C" w:rsidRDefault="0073296A">
      <w:pPr>
        <w:ind w:left="720"/>
        <w:rPr>
          <w:sz w:val="20"/>
          <w:szCs w:val="20"/>
        </w:rPr>
      </w:pPr>
      <w:r w:rsidRPr="0001540C">
        <w:rPr>
          <w:sz w:val="20"/>
          <w:szCs w:val="20"/>
        </w:rPr>
        <w:t>●     Issuance of official transcripts reflecting final grades or degree completion;</w:t>
      </w:r>
    </w:p>
    <w:p w14:paraId="24EFE063" w14:textId="77777777" w:rsidR="00D81755" w:rsidRPr="0001540C" w:rsidRDefault="0073296A">
      <w:pPr>
        <w:ind w:left="720"/>
        <w:rPr>
          <w:sz w:val="20"/>
          <w:szCs w:val="20"/>
        </w:rPr>
      </w:pPr>
      <w:r w:rsidRPr="0001540C">
        <w:rPr>
          <w:sz w:val="20"/>
          <w:szCs w:val="20"/>
        </w:rPr>
        <w:t>●     Clearance for graduation or participation in commencement-related activities;</w:t>
      </w:r>
    </w:p>
    <w:p w14:paraId="24EFE064" w14:textId="77777777" w:rsidR="00D81755" w:rsidRPr="0001540C" w:rsidRDefault="0073296A">
      <w:pPr>
        <w:spacing w:after="240"/>
        <w:ind w:left="720"/>
        <w:rPr>
          <w:sz w:val="20"/>
          <w:szCs w:val="20"/>
        </w:rPr>
      </w:pPr>
      <w:r w:rsidRPr="0001540C">
        <w:rPr>
          <w:sz w:val="20"/>
          <w:szCs w:val="20"/>
        </w:rPr>
        <w:t>●     Other academic determinations that may be materially affected by the outcome of the case.</w:t>
      </w:r>
    </w:p>
    <w:p w14:paraId="24EFE065" w14:textId="77777777" w:rsidR="00D81755" w:rsidRPr="0001540C" w:rsidRDefault="0073296A">
      <w:pPr>
        <w:spacing w:before="240" w:after="240"/>
        <w:rPr>
          <w:sz w:val="20"/>
          <w:szCs w:val="20"/>
        </w:rPr>
      </w:pPr>
      <w:r w:rsidRPr="0001540C">
        <w:rPr>
          <w:sz w:val="20"/>
          <w:szCs w:val="20"/>
        </w:rPr>
        <w:t>Students should be aware that a pending academic integrity case may affect eligibility for graduation in the intended semester if the course or academic requirements under review are necessary for degree completion. Degrees will not be certified or awarded until all academic integrity proceedings have been resolved and all degree requirements have been satisfactorily completed.</w:t>
      </w:r>
    </w:p>
    <w:p w14:paraId="24EFE066" w14:textId="77777777" w:rsidR="00D81755" w:rsidRPr="0001540C" w:rsidRDefault="0073296A">
      <w:pPr>
        <w:spacing w:before="240" w:after="240"/>
        <w:rPr>
          <w:sz w:val="20"/>
          <w:szCs w:val="20"/>
        </w:rPr>
      </w:pPr>
      <w:r w:rsidRPr="0001540C">
        <w:rPr>
          <w:sz w:val="20"/>
          <w:szCs w:val="20"/>
        </w:rPr>
        <w:t>No academic penalty related to the pending academic integrity case shall be permanently imposed until the PPH Academic Integrity and Grievance Committee has rendered a final decision.</w:t>
      </w:r>
    </w:p>
    <w:p w14:paraId="24EFE067" w14:textId="77777777" w:rsidR="00D81755" w:rsidRPr="0001540C" w:rsidRDefault="0073296A">
      <w:pPr>
        <w:spacing w:before="240" w:after="240"/>
        <w:rPr>
          <w:sz w:val="20"/>
          <w:szCs w:val="20"/>
        </w:rPr>
      </w:pPr>
      <w:r w:rsidRPr="0001540C">
        <w:rPr>
          <w:sz w:val="20"/>
          <w:szCs w:val="20"/>
        </w:rPr>
        <w:t xml:space="preserve">If a student is </w:t>
      </w:r>
      <w:proofErr w:type="gramStart"/>
      <w:r w:rsidRPr="0001540C">
        <w:rPr>
          <w:sz w:val="20"/>
          <w:szCs w:val="20"/>
        </w:rPr>
        <w:t>found not</w:t>
      </w:r>
      <w:proofErr w:type="gramEnd"/>
      <w:r w:rsidRPr="0001540C">
        <w:rPr>
          <w:sz w:val="20"/>
          <w:szCs w:val="20"/>
        </w:rPr>
        <w:t xml:space="preserve"> responsible the student's final course grade shall be calculated based solely on their academic performance in accordance with the course syllabus. The Program will make reasonable efforts to process any delayed academic or administrative actions as expeditiously as possible following the resolution of the case.</w:t>
      </w:r>
    </w:p>
    <w:p w14:paraId="24EFE068" w14:textId="77777777" w:rsidR="00D81755" w:rsidRPr="0001540C" w:rsidRDefault="0073296A">
      <w:pPr>
        <w:spacing w:before="240" w:after="240"/>
        <w:rPr>
          <w:sz w:val="20"/>
          <w:szCs w:val="20"/>
        </w:rPr>
      </w:pPr>
      <w:r w:rsidRPr="0001540C">
        <w:rPr>
          <w:sz w:val="20"/>
          <w:szCs w:val="20"/>
        </w:rPr>
        <w:lastRenderedPageBreak/>
        <w:t>The confidentiality of all academic integrity proceedings shall be maintained in accordance with applicable University policies and federal and state privacy laws.</w:t>
      </w:r>
    </w:p>
    <w:p w14:paraId="24EFE069" w14:textId="77777777" w:rsidR="00D81755" w:rsidRPr="0001540C" w:rsidRDefault="0073296A">
      <w:pPr>
        <w:pStyle w:val="Heading1"/>
        <w:keepNext w:val="0"/>
        <w:spacing w:before="480" w:after="120"/>
        <w:rPr>
          <w:sz w:val="20"/>
          <w:szCs w:val="20"/>
        </w:rPr>
      </w:pPr>
      <w:bookmarkStart w:id="88" w:name="_heading=h.mr9vw8yh973o" w:colFirst="0" w:colLast="0"/>
      <w:bookmarkEnd w:id="88"/>
      <w:r w:rsidRPr="0001540C">
        <w:rPr>
          <w:sz w:val="20"/>
          <w:szCs w:val="20"/>
        </w:rPr>
        <w:t>V. APPEAL PROCESS</w:t>
      </w:r>
    </w:p>
    <w:p w14:paraId="24EFE06A" w14:textId="77777777" w:rsidR="00D81755" w:rsidRPr="0001540C" w:rsidRDefault="0073296A">
      <w:pPr>
        <w:spacing w:before="60" w:after="100"/>
        <w:rPr>
          <w:sz w:val="20"/>
          <w:szCs w:val="20"/>
        </w:rPr>
      </w:pPr>
      <w:r w:rsidRPr="0001540C">
        <w:rPr>
          <w:sz w:val="20"/>
          <w:szCs w:val="20"/>
        </w:rPr>
        <w:t>The PPH is committed to ensuring due process through a clearly defined, multi-tiered appeal process. A student who disagrees with the Committee’s determination or the sanction imposed may appeal through the following levels. All appeals must be submitted in writing and include the specific grounds for appeal.</w:t>
      </w:r>
    </w:p>
    <w:p w14:paraId="24EFE06B" w14:textId="77777777" w:rsidR="00D81755" w:rsidRPr="0001540C" w:rsidRDefault="0073296A">
      <w:pPr>
        <w:spacing w:before="60" w:after="60"/>
        <w:rPr>
          <w:color w:val="1F3864"/>
          <w:sz w:val="20"/>
          <w:szCs w:val="20"/>
        </w:rPr>
      </w:pPr>
      <w:r w:rsidRPr="0001540C">
        <w:rPr>
          <w:color w:val="1F3864"/>
          <w:sz w:val="20"/>
          <w:szCs w:val="20"/>
        </w:rPr>
        <w:t xml:space="preserve"> </w:t>
      </w:r>
    </w:p>
    <w:p w14:paraId="24EFE06C" w14:textId="77777777" w:rsidR="00D81755" w:rsidRPr="0001540C" w:rsidRDefault="0073296A">
      <w:pPr>
        <w:spacing w:before="60" w:after="60"/>
        <w:rPr>
          <w:color w:val="1F3864"/>
          <w:sz w:val="20"/>
          <w:szCs w:val="20"/>
        </w:rPr>
      </w:pPr>
      <w:r w:rsidRPr="0001540C">
        <w:rPr>
          <w:color w:val="1F3864"/>
          <w:sz w:val="20"/>
          <w:szCs w:val="20"/>
        </w:rPr>
        <w:t>Grounds for Appeal</w:t>
      </w:r>
    </w:p>
    <w:p w14:paraId="24EFE06D" w14:textId="2851079A" w:rsidR="00D81755" w:rsidRPr="0001540C" w:rsidRDefault="0073296A">
      <w:pPr>
        <w:spacing w:before="40" w:after="40"/>
        <w:ind w:left="720"/>
        <w:rPr>
          <w:sz w:val="20"/>
          <w:szCs w:val="20"/>
        </w:rPr>
      </w:pPr>
      <w:r w:rsidRPr="0001540C">
        <w:rPr>
          <w:sz w:val="20"/>
          <w:szCs w:val="20"/>
        </w:rPr>
        <w:t xml:space="preserve">●  </w:t>
      </w:r>
      <w:r w:rsidR="00B05CAA">
        <w:rPr>
          <w:sz w:val="20"/>
          <w:szCs w:val="20"/>
        </w:rPr>
        <w:t xml:space="preserve"> </w:t>
      </w:r>
      <w:r w:rsidRPr="0001540C">
        <w:rPr>
          <w:sz w:val="20"/>
          <w:szCs w:val="20"/>
        </w:rPr>
        <w:t xml:space="preserve">Appeals are not a mechanism to re-litigate the merits of the Committee’s factual </w:t>
      </w:r>
      <w:r w:rsidR="00352BE4" w:rsidRPr="0001540C">
        <w:rPr>
          <w:sz w:val="20"/>
          <w:szCs w:val="20"/>
        </w:rPr>
        <w:t>findings</w:t>
      </w:r>
      <w:proofErr w:type="gramStart"/>
      <w:r w:rsidR="00352BE4" w:rsidRPr="0001540C">
        <w:rPr>
          <w:sz w:val="20"/>
          <w:szCs w:val="20"/>
        </w:rPr>
        <w:t>,</w:t>
      </w:r>
      <w:r w:rsidRPr="0001540C">
        <w:rPr>
          <w:sz w:val="20"/>
          <w:szCs w:val="20"/>
        </w:rPr>
        <w:t xml:space="preserve"> absent new evidence</w:t>
      </w:r>
      <w:proofErr w:type="gramEnd"/>
      <w:r w:rsidRPr="0001540C">
        <w:rPr>
          <w:sz w:val="20"/>
          <w:szCs w:val="20"/>
        </w:rPr>
        <w:t>. A student may appeal on the following grounds only:</w:t>
      </w:r>
    </w:p>
    <w:p w14:paraId="24EFE06E" w14:textId="3DBF9D19" w:rsidR="00D81755" w:rsidRPr="0001540C" w:rsidRDefault="0073296A">
      <w:pPr>
        <w:spacing w:before="40" w:after="40"/>
        <w:ind w:left="720"/>
        <w:rPr>
          <w:sz w:val="20"/>
          <w:szCs w:val="20"/>
        </w:rPr>
      </w:pPr>
      <w:r w:rsidRPr="0001540C">
        <w:rPr>
          <w:sz w:val="20"/>
          <w:szCs w:val="20"/>
        </w:rPr>
        <w:t>●   Procedural error: A significant deviation from the procedures set forth in this policy that materially affected the outcome.</w:t>
      </w:r>
    </w:p>
    <w:p w14:paraId="24EFE06F" w14:textId="7AFA8B24" w:rsidR="00D81755" w:rsidRPr="0001540C" w:rsidRDefault="0073296A">
      <w:pPr>
        <w:spacing w:before="40" w:after="40"/>
        <w:ind w:left="720"/>
        <w:rPr>
          <w:sz w:val="20"/>
          <w:szCs w:val="20"/>
        </w:rPr>
      </w:pPr>
      <w:r w:rsidRPr="0001540C">
        <w:rPr>
          <w:sz w:val="20"/>
          <w:szCs w:val="20"/>
        </w:rPr>
        <w:t>●   New evidence: Material evidence that was not available at the time of the hearing and that is reasonably likely to change the outcome.</w:t>
      </w:r>
    </w:p>
    <w:p w14:paraId="24EFE070" w14:textId="77777777" w:rsidR="00D81755" w:rsidRPr="0001540C" w:rsidRDefault="0073296A">
      <w:pPr>
        <w:pStyle w:val="Heading2"/>
        <w:keepNext w:val="0"/>
        <w:keepLines w:val="0"/>
        <w:spacing w:before="360" w:after="80"/>
        <w:rPr>
          <w:b w:val="0"/>
          <w:bCs w:val="0"/>
        </w:rPr>
      </w:pPr>
      <w:bookmarkStart w:id="89" w:name="_heading=h.v03cdoqj30ma" w:colFirst="0" w:colLast="0"/>
      <w:bookmarkEnd w:id="89"/>
      <w:r w:rsidRPr="0001540C">
        <w:rPr>
          <w:b w:val="0"/>
          <w:bCs w:val="0"/>
        </w:rPr>
        <w:t>Level 1 – Appeal to the PPH Executive Director</w:t>
      </w:r>
    </w:p>
    <w:p w14:paraId="24EFE071" w14:textId="77777777" w:rsidR="00D81755" w:rsidRPr="0001540C" w:rsidRDefault="0073296A">
      <w:pPr>
        <w:spacing w:before="60" w:after="100"/>
        <w:rPr>
          <w:sz w:val="20"/>
          <w:szCs w:val="20"/>
        </w:rPr>
      </w:pPr>
      <w:r w:rsidRPr="0001540C">
        <w:rPr>
          <w:sz w:val="20"/>
          <w:szCs w:val="20"/>
        </w:rPr>
        <w:t>A student who wishes to appeal the Committee’s decision must submit a written appeal to the Executive Director of the Program in Public Health within ten (10) business days of receipt of the Committee’s written decision.</w:t>
      </w:r>
    </w:p>
    <w:p w14:paraId="24EFE072" w14:textId="77777777" w:rsidR="00D81755" w:rsidRPr="0001540C" w:rsidRDefault="0073296A">
      <w:pPr>
        <w:spacing w:before="80" w:after="80"/>
        <w:rPr>
          <w:sz w:val="20"/>
          <w:szCs w:val="20"/>
        </w:rPr>
      </w:pPr>
      <w:r w:rsidRPr="0001540C">
        <w:rPr>
          <w:sz w:val="20"/>
          <w:szCs w:val="20"/>
        </w:rPr>
        <w:t xml:space="preserve"> </w:t>
      </w:r>
    </w:p>
    <w:p w14:paraId="24EFE073" w14:textId="77777777" w:rsidR="00D81755" w:rsidRPr="0001540C" w:rsidRDefault="0073296A">
      <w:pPr>
        <w:spacing w:before="60" w:after="100"/>
        <w:rPr>
          <w:sz w:val="20"/>
          <w:szCs w:val="20"/>
        </w:rPr>
      </w:pPr>
      <w:r w:rsidRPr="0001540C">
        <w:rPr>
          <w:sz w:val="20"/>
          <w:szCs w:val="20"/>
        </w:rPr>
        <w:t>The written appeal must:</w:t>
      </w:r>
    </w:p>
    <w:p w14:paraId="24EFE074" w14:textId="267D4763" w:rsidR="00D81755" w:rsidRPr="0001540C" w:rsidRDefault="0073296A">
      <w:pPr>
        <w:spacing w:before="40"/>
        <w:ind w:left="720"/>
        <w:rPr>
          <w:sz w:val="20"/>
          <w:szCs w:val="20"/>
        </w:rPr>
      </w:pPr>
      <w:r w:rsidRPr="0001540C">
        <w:rPr>
          <w:sz w:val="20"/>
          <w:szCs w:val="20"/>
        </w:rPr>
        <w:t>● Clearly state the specific ground(s) for appeal (see above).</w:t>
      </w:r>
    </w:p>
    <w:p w14:paraId="24EFE075" w14:textId="2F2867D9" w:rsidR="00D81755" w:rsidRPr="0001540C" w:rsidRDefault="0073296A">
      <w:pPr>
        <w:ind w:left="720"/>
        <w:rPr>
          <w:sz w:val="20"/>
          <w:szCs w:val="20"/>
        </w:rPr>
      </w:pPr>
      <w:r w:rsidRPr="0001540C">
        <w:rPr>
          <w:sz w:val="20"/>
          <w:szCs w:val="20"/>
        </w:rPr>
        <w:t>● Include a detailed explanation of the basis for each ground cited.</w:t>
      </w:r>
    </w:p>
    <w:p w14:paraId="24EFE077" w14:textId="3C24C33A" w:rsidR="00D81755" w:rsidRPr="0001540C" w:rsidRDefault="0073296A" w:rsidP="00DA3661">
      <w:pPr>
        <w:spacing w:after="40"/>
        <w:ind w:left="720"/>
        <w:rPr>
          <w:sz w:val="20"/>
          <w:szCs w:val="20"/>
        </w:rPr>
      </w:pPr>
      <w:r w:rsidRPr="0001540C">
        <w:rPr>
          <w:sz w:val="20"/>
          <w:szCs w:val="20"/>
        </w:rPr>
        <w:t>● Attach all relevant supporting documentation, including any new evidence not previously presented.</w:t>
      </w:r>
    </w:p>
    <w:p w14:paraId="24EFE078" w14:textId="77777777" w:rsidR="00D81755" w:rsidRPr="0001540C" w:rsidRDefault="0073296A">
      <w:pPr>
        <w:spacing w:before="60" w:after="100"/>
        <w:rPr>
          <w:sz w:val="20"/>
          <w:szCs w:val="20"/>
        </w:rPr>
      </w:pPr>
      <w:r w:rsidRPr="0001540C">
        <w:rPr>
          <w:sz w:val="20"/>
          <w:szCs w:val="20"/>
        </w:rPr>
        <w:t>The Executive Director will:</w:t>
      </w:r>
    </w:p>
    <w:p w14:paraId="24EFE079" w14:textId="6D949A85" w:rsidR="00D81755" w:rsidRPr="0001540C" w:rsidRDefault="0073296A">
      <w:pPr>
        <w:spacing w:before="40" w:after="40"/>
        <w:ind w:left="720"/>
        <w:rPr>
          <w:sz w:val="20"/>
          <w:szCs w:val="20"/>
        </w:rPr>
      </w:pPr>
      <w:proofErr w:type="gramStart"/>
      <w:r w:rsidRPr="0001540C">
        <w:rPr>
          <w:sz w:val="20"/>
          <w:szCs w:val="20"/>
        </w:rPr>
        <w:t>●  Acknowledge</w:t>
      </w:r>
      <w:proofErr w:type="gramEnd"/>
      <w:r w:rsidRPr="0001540C">
        <w:rPr>
          <w:sz w:val="20"/>
          <w:szCs w:val="20"/>
        </w:rPr>
        <w:t xml:space="preserve"> receipt of the appeal in writing within three (3) business days.</w:t>
      </w:r>
    </w:p>
    <w:p w14:paraId="24EFE07A" w14:textId="4939A07C" w:rsidR="00D81755" w:rsidRPr="0001540C" w:rsidRDefault="0073296A">
      <w:pPr>
        <w:spacing w:before="40" w:after="40"/>
        <w:ind w:left="720"/>
        <w:rPr>
          <w:sz w:val="20"/>
          <w:szCs w:val="20"/>
        </w:rPr>
      </w:pPr>
      <w:proofErr w:type="gramStart"/>
      <w:r w:rsidRPr="0001540C">
        <w:rPr>
          <w:sz w:val="20"/>
          <w:szCs w:val="20"/>
        </w:rPr>
        <w:t>●  Review</w:t>
      </w:r>
      <w:proofErr w:type="gramEnd"/>
      <w:r w:rsidRPr="0001540C">
        <w:rPr>
          <w:sz w:val="20"/>
          <w:szCs w:val="20"/>
        </w:rPr>
        <w:t xml:space="preserve"> the appeal, the Committee’s record, and all submitted materials.</w:t>
      </w:r>
    </w:p>
    <w:p w14:paraId="24EFE07B" w14:textId="1860540E" w:rsidR="00D81755" w:rsidRPr="0001540C" w:rsidRDefault="0073296A">
      <w:pPr>
        <w:spacing w:before="40" w:after="40"/>
        <w:ind w:left="720"/>
        <w:rPr>
          <w:sz w:val="20"/>
          <w:szCs w:val="20"/>
        </w:rPr>
      </w:pPr>
      <w:proofErr w:type="gramStart"/>
      <w:r w:rsidRPr="0001540C">
        <w:rPr>
          <w:sz w:val="20"/>
          <w:szCs w:val="20"/>
        </w:rPr>
        <w:t>●  May</w:t>
      </w:r>
      <w:proofErr w:type="gramEnd"/>
      <w:r w:rsidRPr="0001540C">
        <w:rPr>
          <w:sz w:val="20"/>
          <w:szCs w:val="20"/>
        </w:rPr>
        <w:t xml:space="preserve"> request a meeting with the student, the Committee Chair, or the faculty member, as appropriate.</w:t>
      </w:r>
    </w:p>
    <w:p w14:paraId="24EFE07C" w14:textId="60B07093" w:rsidR="00D81755" w:rsidRPr="0001540C" w:rsidRDefault="0073296A">
      <w:pPr>
        <w:spacing w:before="40" w:after="40"/>
        <w:ind w:left="720"/>
        <w:rPr>
          <w:sz w:val="20"/>
          <w:szCs w:val="20"/>
        </w:rPr>
      </w:pPr>
      <w:proofErr w:type="gramStart"/>
      <w:r w:rsidRPr="0001540C">
        <w:rPr>
          <w:sz w:val="20"/>
          <w:szCs w:val="20"/>
        </w:rPr>
        <w:t>●  Issue</w:t>
      </w:r>
      <w:proofErr w:type="gramEnd"/>
      <w:r w:rsidRPr="0001540C">
        <w:rPr>
          <w:sz w:val="20"/>
          <w:szCs w:val="20"/>
        </w:rPr>
        <w:t xml:space="preserve"> a written decision within ten (10) business days of receiving the appeal.</w:t>
      </w:r>
    </w:p>
    <w:p w14:paraId="24EFE07D" w14:textId="77777777" w:rsidR="00D81755" w:rsidRPr="0001540C" w:rsidRDefault="0073296A">
      <w:pPr>
        <w:spacing w:before="80" w:after="80"/>
        <w:rPr>
          <w:sz w:val="20"/>
          <w:szCs w:val="20"/>
        </w:rPr>
      </w:pPr>
      <w:r w:rsidRPr="0001540C">
        <w:rPr>
          <w:sz w:val="20"/>
          <w:szCs w:val="20"/>
        </w:rPr>
        <w:t xml:space="preserve"> </w:t>
      </w:r>
    </w:p>
    <w:p w14:paraId="24EFE07E" w14:textId="77777777" w:rsidR="00D81755" w:rsidRPr="0001540C" w:rsidRDefault="0073296A">
      <w:pPr>
        <w:spacing w:before="60" w:after="100"/>
        <w:rPr>
          <w:sz w:val="20"/>
          <w:szCs w:val="20"/>
        </w:rPr>
      </w:pPr>
      <w:r w:rsidRPr="0001540C">
        <w:rPr>
          <w:sz w:val="20"/>
          <w:szCs w:val="20"/>
        </w:rPr>
        <w:t>The Executive Director may: (a) uphold the Committee’s decision and sanction in full; or (b) in cases of clear procedural error, and/ or new evidence, a new hearing will be held. The Executive Director’s decision constitutes the final decision at the program level.</w:t>
      </w:r>
    </w:p>
    <w:p w14:paraId="24EFE080" w14:textId="458D951B" w:rsidR="00D81755" w:rsidRPr="0001540C" w:rsidRDefault="0073296A">
      <w:pPr>
        <w:pStyle w:val="Heading2"/>
        <w:keepNext w:val="0"/>
        <w:keepLines w:val="0"/>
        <w:spacing w:before="360" w:after="80"/>
        <w:rPr>
          <w:b w:val="0"/>
          <w:bCs w:val="0"/>
        </w:rPr>
      </w:pPr>
      <w:r w:rsidRPr="0001540C">
        <w:rPr>
          <w:b w:val="0"/>
          <w:bCs w:val="0"/>
        </w:rPr>
        <w:t xml:space="preserve">Level 2 – Appeal to the Stony Brook University Executive Vice President of Health </w:t>
      </w:r>
      <w:bookmarkStart w:id="90" w:name="_heading=h.ivtc44vcddex" w:colFirst="0" w:colLast="0"/>
      <w:bookmarkEnd w:id="90"/>
      <w:r w:rsidRPr="0001540C">
        <w:rPr>
          <w:b w:val="0"/>
          <w:bCs w:val="0"/>
        </w:rPr>
        <w:t>Sciences</w:t>
      </w:r>
    </w:p>
    <w:p w14:paraId="24EFE081" w14:textId="45157E81" w:rsidR="00D81755" w:rsidRPr="0001540C" w:rsidRDefault="0073296A">
      <w:pPr>
        <w:spacing w:before="60" w:after="100"/>
        <w:rPr>
          <w:sz w:val="20"/>
          <w:szCs w:val="20"/>
        </w:rPr>
      </w:pPr>
      <w:r w:rsidRPr="0001540C">
        <w:rPr>
          <w:sz w:val="20"/>
          <w:szCs w:val="20"/>
        </w:rPr>
        <w:t xml:space="preserve">If the student is not satisfied with the Executive Director’s decision, the student may file a formal grievance directly made to the Executive Vice President of Health Sciences within ten (10) days of the program-level decision, consistent with </w:t>
      </w:r>
      <w:r w:rsidR="00352BE4" w:rsidRPr="0001540C">
        <w:rPr>
          <w:sz w:val="20"/>
          <w:szCs w:val="20"/>
        </w:rPr>
        <w:t>university</w:t>
      </w:r>
      <w:r w:rsidRPr="0001540C">
        <w:rPr>
          <w:sz w:val="20"/>
          <w:szCs w:val="20"/>
        </w:rPr>
        <w:t xml:space="preserve"> policy.</w:t>
      </w:r>
    </w:p>
    <w:p w14:paraId="24EFE082" w14:textId="77777777" w:rsidR="00D81755" w:rsidRPr="0001540C" w:rsidRDefault="0073296A">
      <w:pPr>
        <w:pStyle w:val="Heading2"/>
        <w:keepNext w:val="0"/>
        <w:keepLines w:val="0"/>
        <w:spacing w:before="360" w:after="80"/>
        <w:rPr>
          <w:b w:val="0"/>
          <w:bCs w:val="0"/>
        </w:rPr>
      </w:pPr>
      <w:bookmarkStart w:id="91" w:name="_heading=h.ozsl6rlfehfv" w:colFirst="0" w:colLast="0"/>
      <w:bookmarkEnd w:id="91"/>
      <w:r w:rsidRPr="0001540C">
        <w:rPr>
          <w:b w:val="0"/>
          <w:bCs w:val="0"/>
        </w:rPr>
        <w:t>Level 3 – Additional University Resources</w:t>
      </w:r>
    </w:p>
    <w:p w14:paraId="24EFE083" w14:textId="77777777" w:rsidR="00D81755" w:rsidRPr="0001540C" w:rsidRDefault="0073296A">
      <w:pPr>
        <w:spacing w:before="60" w:after="100"/>
        <w:rPr>
          <w:sz w:val="20"/>
          <w:szCs w:val="20"/>
        </w:rPr>
      </w:pPr>
      <w:r w:rsidRPr="0001540C">
        <w:rPr>
          <w:sz w:val="20"/>
          <w:szCs w:val="20"/>
        </w:rPr>
        <w:t>Students may also seek informal, confidential counsel from:</w:t>
      </w:r>
    </w:p>
    <w:p w14:paraId="24EFE085" w14:textId="775C7C97" w:rsidR="00D81755" w:rsidRPr="0001540C" w:rsidRDefault="0073296A" w:rsidP="00352BE4">
      <w:pPr>
        <w:spacing w:before="40" w:after="40"/>
        <w:ind w:left="720"/>
        <w:rPr>
          <w:sz w:val="20"/>
          <w:szCs w:val="20"/>
        </w:rPr>
      </w:pPr>
      <w:r w:rsidRPr="0001540C">
        <w:rPr>
          <w:sz w:val="20"/>
          <w:szCs w:val="20"/>
        </w:rPr>
        <w:t>•       The Stony Brook University Ombuds Office, which provides independent, impartial, and confidential dispute resolution services. The Ombuds Office does not adjudicate cases but can assist students in understanding their options and navigating University processes. Visit: http://www.stonybrook.edu/ombuds/</w:t>
      </w:r>
    </w:p>
    <w:p w14:paraId="24EFE086" w14:textId="77777777" w:rsidR="00D81755" w:rsidRPr="0001540C" w:rsidRDefault="0073296A">
      <w:pPr>
        <w:pStyle w:val="Heading1"/>
        <w:keepNext w:val="0"/>
        <w:spacing w:before="480" w:after="120"/>
        <w:rPr>
          <w:sz w:val="20"/>
          <w:szCs w:val="20"/>
        </w:rPr>
      </w:pPr>
      <w:bookmarkStart w:id="92" w:name="_heading=h.e061dooebapa" w:colFirst="0" w:colLast="0"/>
      <w:bookmarkEnd w:id="92"/>
      <w:r w:rsidRPr="0001540C">
        <w:rPr>
          <w:sz w:val="20"/>
          <w:szCs w:val="20"/>
        </w:rPr>
        <w:t>VI. FORMAL GRIEVANCES (NON-ACADEMIC INTEGRITY MATTERS)</w:t>
      </w:r>
    </w:p>
    <w:p w14:paraId="24EFE088" w14:textId="397214FD" w:rsidR="00D81755" w:rsidRPr="0001540C" w:rsidRDefault="0073296A" w:rsidP="00DA3661">
      <w:pPr>
        <w:spacing w:before="60" w:after="100"/>
        <w:rPr>
          <w:color w:val="1155CC"/>
          <w:sz w:val="20"/>
          <w:szCs w:val="20"/>
          <w:u w:val="single"/>
        </w:rPr>
      </w:pPr>
      <w:r w:rsidRPr="0001540C">
        <w:rPr>
          <w:sz w:val="20"/>
          <w:szCs w:val="20"/>
        </w:rPr>
        <w:t>The following procedures apply to student grievances that are not related to academic dishonesty, for example, concerns regarding course grading discrepancies, faculty conduct, or departmental policy inconsistencies, and are maintained separately from the academic integrity process. This section does not relate to allegations of discrimination, including sexual misconduct, directly to the</w:t>
      </w:r>
      <w:hyperlink r:id="rId51">
        <w:r w:rsidRPr="0001540C">
          <w:rPr>
            <w:color w:val="1155CC"/>
            <w:sz w:val="20"/>
            <w:szCs w:val="20"/>
            <w:u w:val="single"/>
          </w:rPr>
          <w:t xml:space="preserve"> Office of Equity and Access.</w:t>
        </w:r>
      </w:hyperlink>
    </w:p>
    <w:p w14:paraId="24EFE089" w14:textId="77777777" w:rsidR="00D81755" w:rsidRPr="0001540C" w:rsidRDefault="0073296A">
      <w:pPr>
        <w:pStyle w:val="Heading2"/>
        <w:keepNext w:val="0"/>
        <w:keepLines w:val="0"/>
        <w:spacing w:before="360" w:after="80"/>
        <w:rPr>
          <w:b w:val="0"/>
          <w:bCs w:val="0"/>
        </w:rPr>
      </w:pPr>
      <w:bookmarkStart w:id="93" w:name="_heading=h.7q9l1a229jf" w:colFirst="0" w:colLast="0"/>
      <w:bookmarkEnd w:id="93"/>
      <w:r w:rsidRPr="0001540C">
        <w:rPr>
          <w:b w:val="0"/>
          <w:bCs w:val="0"/>
        </w:rPr>
        <w:lastRenderedPageBreak/>
        <w:t>A. Time Limitation</w:t>
      </w:r>
    </w:p>
    <w:p w14:paraId="24EFE08B" w14:textId="0FAFE17D" w:rsidR="00D81755" w:rsidRPr="0001540C" w:rsidRDefault="0073296A" w:rsidP="00DA3661">
      <w:pPr>
        <w:spacing w:before="60" w:after="100"/>
        <w:rPr>
          <w:sz w:val="20"/>
          <w:szCs w:val="20"/>
        </w:rPr>
      </w:pPr>
      <w:proofErr w:type="gramStart"/>
      <w:r w:rsidRPr="0001540C">
        <w:rPr>
          <w:sz w:val="20"/>
          <w:szCs w:val="20"/>
        </w:rPr>
        <w:t>A grievance</w:t>
      </w:r>
      <w:proofErr w:type="gramEnd"/>
      <w:r w:rsidRPr="0001540C">
        <w:rPr>
          <w:sz w:val="20"/>
          <w:szCs w:val="20"/>
        </w:rPr>
        <w:t xml:space="preserve"> must be initiated within four (4) weeks following the incident or decision that is the subject of </w:t>
      </w:r>
      <w:proofErr w:type="gramStart"/>
      <w:r w:rsidRPr="0001540C">
        <w:rPr>
          <w:sz w:val="20"/>
          <w:szCs w:val="20"/>
        </w:rPr>
        <w:t>the grievance</w:t>
      </w:r>
      <w:proofErr w:type="gramEnd"/>
      <w:r w:rsidRPr="0001540C">
        <w:rPr>
          <w:sz w:val="20"/>
          <w:szCs w:val="20"/>
        </w:rPr>
        <w:t>. Grievances submitted after this period may not be heard, absent extraordinary circumstances.</w:t>
      </w:r>
    </w:p>
    <w:p w14:paraId="24EFE08C" w14:textId="77777777" w:rsidR="00D81755" w:rsidRPr="0001540C" w:rsidRDefault="0073296A">
      <w:pPr>
        <w:pStyle w:val="Heading2"/>
        <w:keepNext w:val="0"/>
        <w:keepLines w:val="0"/>
        <w:spacing w:before="360" w:after="80"/>
        <w:rPr>
          <w:b w:val="0"/>
          <w:bCs w:val="0"/>
        </w:rPr>
      </w:pPr>
      <w:bookmarkStart w:id="94" w:name="_heading=h.yxi8spdi63vp" w:colFirst="0" w:colLast="0"/>
      <w:bookmarkEnd w:id="94"/>
      <w:r w:rsidRPr="0001540C">
        <w:rPr>
          <w:b w:val="0"/>
          <w:bCs w:val="0"/>
        </w:rPr>
        <w:t>B. Required Prerequisites</w:t>
      </w:r>
    </w:p>
    <w:p w14:paraId="24EFE08D" w14:textId="77777777" w:rsidR="00D81755" w:rsidRPr="0001540C" w:rsidRDefault="0073296A">
      <w:pPr>
        <w:spacing w:before="60" w:after="100"/>
        <w:rPr>
          <w:sz w:val="20"/>
          <w:szCs w:val="20"/>
        </w:rPr>
      </w:pPr>
      <w:r w:rsidRPr="0001540C">
        <w:rPr>
          <w:sz w:val="20"/>
          <w:szCs w:val="20"/>
        </w:rPr>
        <w:t>Before submitting a formal grievance to the Associate Director for Student and Academic Affairs on behalf of the Committee, the student must complete all three of the following steps:</w:t>
      </w:r>
    </w:p>
    <w:p w14:paraId="24EFE08E" w14:textId="77777777" w:rsidR="00D81755" w:rsidRPr="0001540C" w:rsidRDefault="0073296A">
      <w:pPr>
        <w:spacing w:before="80" w:after="80"/>
        <w:rPr>
          <w:sz w:val="20"/>
          <w:szCs w:val="20"/>
        </w:rPr>
      </w:pPr>
      <w:r w:rsidRPr="0001540C">
        <w:rPr>
          <w:sz w:val="20"/>
          <w:szCs w:val="20"/>
        </w:rPr>
        <w:t xml:space="preserve"> </w:t>
      </w:r>
    </w:p>
    <w:p w14:paraId="24EFE08F" w14:textId="77777777" w:rsidR="00D81755" w:rsidRPr="0001540C" w:rsidRDefault="0073296A">
      <w:pPr>
        <w:numPr>
          <w:ilvl w:val="0"/>
          <w:numId w:val="32"/>
        </w:numPr>
        <w:spacing w:before="40"/>
        <w:rPr>
          <w:sz w:val="20"/>
          <w:szCs w:val="20"/>
        </w:rPr>
      </w:pPr>
      <w:r w:rsidRPr="0001540C">
        <w:rPr>
          <w:sz w:val="20"/>
          <w:szCs w:val="20"/>
        </w:rPr>
        <w:t xml:space="preserve">Speak directly with the faculty </w:t>
      </w:r>
      <w:proofErr w:type="gramStart"/>
      <w:r w:rsidRPr="0001540C">
        <w:rPr>
          <w:sz w:val="20"/>
          <w:szCs w:val="20"/>
        </w:rPr>
        <w:t>member</w:t>
      </w:r>
      <w:proofErr w:type="gramEnd"/>
      <w:r w:rsidRPr="0001540C">
        <w:rPr>
          <w:sz w:val="20"/>
          <w:szCs w:val="20"/>
        </w:rPr>
        <w:t xml:space="preserve">, or Chair of the </w:t>
      </w:r>
      <w:proofErr w:type="gramStart"/>
      <w:r w:rsidRPr="0001540C">
        <w:rPr>
          <w:sz w:val="20"/>
          <w:szCs w:val="20"/>
        </w:rPr>
        <w:t>Committee  about</w:t>
      </w:r>
      <w:proofErr w:type="gramEnd"/>
      <w:r w:rsidRPr="0001540C">
        <w:rPr>
          <w:sz w:val="20"/>
          <w:szCs w:val="20"/>
        </w:rPr>
        <w:t xml:space="preserve"> the concern and make a good-faith effort to resolve the matter informally.</w:t>
      </w:r>
    </w:p>
    <w:p w14:paraId="24EFE090" w14:textId="77777777" w:rsidR="00D81755" w:rsidRPr="0001540C" w:rsidRDefault="0073296A">
      <w:pPr>
        <w:numPr>
          <w:ilvl w:val="0"/>
          <w:numId w:val="32"/>
        </w:numPr>
        <w:rPr>
          <w:sz w:val="20"/>
          <w:szCs w:val="20"/>
        </w:rPr>
      </w:pPr>
      <w:r w:rsidRPr="0001540C">
        <w:rPr>
          <w:sz w:val="20"/>
          <w:szCs w:val="20"/>
        </w:rPr>
        <w:t>If the matter is not resolved at Step 1, speak with the Director of the student’s degree program.</w:t>
      </w:r>
    </w:p>
    <w:p w14:paraId="24EFE092" w14:textId="77C47DDA" w:rsidR="00D81755" w:rsidRPr="0001540C" w:rsidRDefault="0073296A" w:rsidP="00DA3661">
      <w:pPr>
        <w:numPr>
          <w:ilvl w:val="0"/>
          <w:numId w:val="32"/>
        </w:numPr>
        <w:spacing w:after="40"/>
        <w:rPr>
          <w:sz w:val="20"/>
          <w:szCs w:val="20"/>
        </w:rPr>
      </w:pPr>
      <w:r w:rsidRPr="0001540C">
        <w:rPr>
          <w:sz w:val="20"/>
          <w:szCs w:val="20"/>
        </w:rPr>
        <w:t>Maintain documented records of all communications (e.g., emails, meeting notes) with the instructor and Director, including the outcome of each interaction.</w:t>
      </w:r>
    </w:p>
    <w:p w14:paraId="24EFE094" w14:textId="1B320149" w:rsidR="00D81755" w:rsidRPr="0001540C" w:rsidRDefault="0073296A" w:rsidP="00DA3661">
      <w:pPr>
        <w:spacing w:before="60" w:after="100"/>
        <w:rPr>
          <w:sz w:val="20"/>
          <w:szCs w:val="20"/>
        </w:rPr>
      </w:pPr>
      <w:r w:rsidRPr="0001540C">
        <w:rPr>
          <w:sz w:val="20"/>
          <w:szCs w:val="20"/>
        </w:rPr>
        <w:t>Failure to complete Steps 1 through 3 will result in the grievance not being heard by the Committee.</w:t>
      </w:r>
    </w:p>
    <w:p w14:paraId="24EFE095" w14:textId="77777777" w:rsidR="00D81755" w:rsidRPr="0001540C" w:rsidRDefault="0073296A">
      <w:pPr>
        <w:pStyle w:val="Heading2"/>
        <w:keepNext w:val="0"/>
        <w:keepLines w:val="0"/>
        <w:spacing w:before="360" w:after="80"/>
        <w:rPr>
          <w:b w:val="0"/>
          <w:bCs w:val="0"/>
        </w:rPr>
      </w:pPr>
      <w:bookmarkStart w:id="95" w:name="_heading=h.xvrllxda067r" w:colFirst="0" w:colLast="0"/>
      <w:bookmarkEnd w:id="95"/>
      <w:r w:rsidRPr="0001540C">
        <w:rPr>
          <w:b w:val="0"/>
          <w:bCs w:val="0"/>
        </w:rPr>
        <w:t>C. Submission of Grievance to the Committee</w:t>
      </w:r>
    </w:p>
    <w:p w14:paraId="24EFE096" w14:textId="77777777" w:rsidR="00D81755" w:rsidRPr="0001540C" w:rsidRDefault="0073296A">
      <w:pPr>
        <w:spacing w:before="60" w:after="100"/>
        <w:rPr>
          <w:sz w:val="20"/>
          <w:szCs w:val="20"/>
        </w:rPr>
      </w:pPr>
      <w:r w:rsidRPr="0001540C">
        <w:rPr>
          <w:sz w:val="20"/>
          <w:szCs w:val="20"/>
        </w:rPr>
        <w:t>Upon completion of the required prerequisites, a student may submit a formal written grievance to the Academic Integrity, Grievance, and Appeals Committee. The grievance must include:</w:t>
      </w:r>
    </w:p>
    <w:p w14:paraId="24EFE097" w14:textId="77777777" w:rsidR="00D81755" w:rsidRPr="0001540C" w:rsidRDefault="0073296A">
      <w:pPr>
        <w:spacing w:before="40" w:after="40"/>
        <w:ind w:left="720"/>
        <w:rPr>
          <w:sz w:val="20"/>
          <w:szCs w:val="20"/>
        </w:rPr>
      </w:pPr>
      <w:r w:rsidRPr="0001540C">
        <w:rPr>
          <w:sz w:val="20"/>
          <w:szCs w:val="20"/>
        </w:rPr>
        <w:t>•       A clear, detailed statement of concern or discrepancy.</w:t>
      </w:r>
    </w:p>
    <w:p w14:paraId="24EFE098" w14:textId="77777777" w:rsidR="00D81755" w:rsidRPr="0001540C" w:rsidRDefault="0073296A">
      <w:pPr>
        <w:spacing w:before="40" w:after="40"/>
        <w:ind w:left="720"/>
        <w:rPr>
          <w:sz w:val="20"/>
          <w:szCs w:val="20"/>
        </w:rPr>
      </w:pPr>
      <w:r w:rsidRPr="0001540C">
        <w:rPr>
          <w:sz w:val="20"/>
          <w:szCs w:val="20"/>
        </w:rPr>
        <w:t>•       Documentation of the student’s prior attempts at informal resolution (Steps 1–2 above), including dates and outcomes.</w:t>
      </w:r>
    </w:p>
    <w:p w14:paraId="24EFE09A" w14:textId="0EFC6133" w:rsidR="00D81755" w:rsidRPr="0001540C" w:rsidRDefault="0073296A" w:rsidP="00DA3661">
      <w:pPr>
        <w:spacing w:before="40" w:after="40"/>
        <w:ind w:left="720"/>
        <w:rPr>
          <w:sz w:val="20"/>
          <w:szCs w:val="20"/>
        </w:rPr>
      </w:pPr>
      <w:r w:rsidRPr="0001540C">
        <w:rPr>
          <w:sz w:val="20"/>
          <w:szCs w:val="20"/>
        </w:rPr>
        <w:t>•       Copies of all supporting documentation (e.g., the course syllabus, assignment instructions, graded work, and all correspondence with the instructor and Director).</w:t>
      </w:r>
      <w:r w:rsidR="00DA3661" w:rsidRPr="0001540C">
        <w:rPr>
          <w:sz w:val="20"/>
          <w:szCs w:val="20"/>
        </w:rPr>
        <w:br/>
      </w:r>
    </w:p>
    <w:p w14:paraId="24EFE09C" w14:textId="0E334C4A" w:rsidR="00D81755" w:rsidRPr="0001540C" w:rsidRDefault="0073296A" w:rsidP="00DA3661">
      <w:pPr>
        <w:spacing w:before="60" w:after="100"/>
        <w:rPr>
          <w:sz w:val="20"/>
          <w:szCs w:val="20"/>
        </w:rPr>
      </w:pPr>
      <w:r w:rsidRPr="0001540C">
        <w:rPr>
          <w:sz w:val="20"/>
          <w:szCs w:val="20"/>
        </w:rPr>
        <w:t>Contact for submission and questions: Lakshmi Ramsoondar-Ahmad at lakshmi.ramsoondar@stonybrookmedicine.edu.</w:t>
      </w:r>
    </w:p>
    <w:p w14:paraId="24EFE09D" w14:textId="77777777" w:rsidR="00D81755" w:rsidRPr="0001540C" w:rsidRDefault="0073296A">
      <w:pPr>
        <w:pStyle w:val="Heading2"/>
        <w:keepNext w:val="0"/>
        <w:keepLines w:val="0"/>
        <w:spacing w:before="360" w:after="80"/>
        <w:rPr>
          <w:b w:val="0"/>
          <w:bCs w:val="0"/>
        </w:rPr>
      </w:pPr>
      <w:bookmarkStart w:id="96" w:name="_heading=h.52f3oet7x9as" w:colFirst="0" w:colLast="0"/>
      <w:bookmarkEnd w:id="96"/>
      <w:r w:rsidRPr="0001540C">
        <w:rPr>
          <w:b w:val="0"/>
          <w:bCs w:val="0"/>
        </w:rPr>
        <w:t>D. Appeal of Grievance Decision</w:t>
      </w:r>
    </w:p>
    <w:p w14:paraId="24EFE09E" w14:textId="77777777" w:rsidR="00D81755" w:rsidRPr="0001540C" w:rsidRDefault="0073296A">
      <w:pPr>
        <w:spacing w:before="60" w:after="100"/>
        <w:rPr>
          <w:sz w:val="20"/>
          <w:szCs w:val="20"/>
        </w:rPr>
      </w:pPr>
      <w:r w:rsidRPr="0001540C">
        <w:rPr>
          <w:sz w:val="20"/>
          <w:szCs w:val="20"/>
        </w:rPr>
        <w:t xml:space="preserve">A student who is not satisfied with the Committee’s resolution </w:t>
      </w:r>
      <w:proofErr w:type="gramStart"/>
      <w:r w:rsidRPr="0001540C">
        <w:rPr>
          <w:sz w:val="20"/>
          <w:szCs w:val="20"/>
        </w:rPr>
        <w:t>of</w:t>
      </w:r>
      <w:proofErr w:type="gramEnd"/>
      <w:r w:rsidRPr="0001540C">
        <w:rPr>
          <w:sz w:val="20"/>
          <w:szCs w:val="20"/>
        </w:rPr>
        <w:t xml:space="preserve"> </w:t>
      </w:r>
      <w:proofErr w:type="gramStart"/>
      <w:r w:rsidRPr="0001540C">
        <w:rPr>
          <w:sz w:val="20"/>
          <w:szCs w:val="20"/>
        </w:rPr>
        <w:t>a formal</w:t>
      </w:r>
      <w:proofErr w:type="gramEnd"/>
      <w:r w:rsidRPr="0001540C">
        <w:rPr>
          <w:sz w:val="20"/>
          <w:szCs w:val="20"/>
        </w:rPr>
        <w:t xml:space="preserve"> grievance may </w:t>
      </w:r>
      <w:proofErr w:type="gramStart"/>
      <w:r w:rsidRPr="0001540C">
        <w:rPr>
          <w:sz w:val="20"/>
          <w:szCs w:val="20"/>
        </w:rPr>
        <w:t>appeal the decision</w:t>
      </w:r>
      <w:proofErr w:type="gramEnd"/>
      <w:r w:rsidRPr="0001540C">
        <w:rPr>
          <w:sz w:val="20"/>
          <w:szCs w:val="20"/>
        </w:rPr>
        <w:t xml:space="preserve"> to the PPH Executive Director following the same process described in Section V, Level 1 of this policy.</w:t>
      </w:r>
    </w:p>
    <w:p w14:paraId="24EFE09F" w14:textId="77777777" w:rsidR="00D81755" w:rsidRPr="0001540C" w:rsidRDefault="0073296A">
      <w:pPr>
        <w:spacing w:before="80" w:after="80"/>
        <w:rPr>
          <w:sz w:val="20"/>
          <w:szCs w:val="20"/>
        </w:rPr>
      </w:pPr>
      <w:r w:rsidRPr="0001540C">
        <w:rPr>
          <w:sz w:val="20"/>
          <w:szCs w:val="20"/>
        </w:rPr>
        <w:t xml:space="preserve"> </w:t>
      </w:r>
    </w:p>
    <w:p w14:paraId="24EFE0A1" w14:textId="533FBD14" w:rsidR="00D81755" w:rsidRPr="0001540C" w:rsidRDefault="0073296A" w:rsidP="00DA3661">
      <w:pPr>
        <w:spacing w:before="60" w:after="100"/>
        <w:rPr>
          <w:sz w:val="20"/>
          <w:szCs w:val="20"/>
        </w:rPr>
      </w:pPr>
      <w:r w:rsidRPr="0001540C">
        <w:rPr>
          <w:sz w:val="20"/>
          <w:szCs w:val="20"/>
        </w:rPr>
        <w:t>Students who are not satisfied after exhausting program-level remedies may also contact the Executive Vice President of Health Sciences as described in Section V of this policy. Point of discussion.</w:t>
      </w:r>
      <w:bookmarkStart w:id="97" w:name="_heading=h.ttq80bnxjje1" w:colFirst="0" w:colLast="0"/>
      <w:bookmarkEnd w:id="97"/>
    </w:p>
    <w:p w14:paraId="24EFE0A2" w14:textId="77777777" w:rsidR="00D81755" w:rsidRPr="0001540C" w:rsidRDefault="0073296A">
      <w:pPr>
        <w:pStyle w:val="Heading1"/>
        <w:keepNext w:val="0"/>
        <w:spacing w:before="480" w:after="120"/>
        <w:rPr>
          <w:sz w:val="20"/>
          <w:szCs w:val="20"/>
        </w:rPr>
      </w:pPr>
      <w:r w:rsidRPr="0001540C">
        <w:rPr>
          <w:sz w:val="20"/>
          <w:szCs w:val="20"/>
        </w:rPr>
        <w:t>VII. CONFIDENTIALITY AND RECORDS</w:t>
      </w:r>
    </w:p>
    <w:p w14:paraId="24EFE0A3" w14:textId="77777777" w:rsidR="00D81755" w:rsidRPr="0001540C" w:rsidRDefault="0073296A">
      <w:pPr>
        <w:spacing w:before="60" w:after="100"/>
        <w:rPr>
          <w:sz w:val="20"/>
          <w:szCs w:val="20"/>
        </w:rPr>
      </w:pPr>
      <w:r w:rsidRPr="0001540C">
        <w:rPr>
          <w:sz w:val="20"/>
          <w:szCs w:val="20"/>
        </w:rPr>
        <w:t>All academic integrity proceedings, including formal accusation, hearings, deliberations, and decisions, are strictly confidential. Committee members, faculty, and administrative staff involved in any proceeding are required to maintain this confidentiality both during and after the case is resolved.</w:t>
      </w:r>
    </w:p>
    <w:p w14:paraId="24EFE0A4" w14:textId="4E2AD927" w:rsidR="00D81755" w:rsidRPr="0001540C" w:rsidRDefault="0073296A">
      <w:pPr>
        <w:spacing w:before="60" w:after="100"/>
        <w:rPr>
          <w:sz w:val="20"/>
          <w:szCs w:val="20"/>
        </w:rPr>
      </w:pPr>
      <w:r w:rsidRPr="0001540C">
        <w:rPr>
          <w:sz w:val="20"/>
          <w:szCs w:val="20"/>
        </w:rPr>
        <w:t xml:space="preserve">Records of substantiated violations are maintained in the student’s permanent academic file. These records are available to appropriate University officials in cases of further appeal or as required by </w:t>
      </w:r>
      <w:r w:rsidR="00DA3661" w:rsidRPr="0001540C">
        <w:rPr>
          <w:sz w:val="20"/>
          <w:szCs w:val="20"/>
        </w:rPr>
        <w:t>university</w:t>
      </w:r>
      <w:r w:rsidRPr="0001540C">
        <w:rPr>
          <w:sz w:val="20"/>
          <w:szCs w:val="20"/>
        </w:rPr>
        <w:t xml:space="preserve"> policy. Confidential records are defined as records pertaining to the student in question and do not include records of other students.</w:t>
      </w:r>
      <w:r w:rsidRPr="0001540C">
        <w:rPr>
          <w:sz w:val="20"/>
          <w:szCs w:val="20"/>
        </w:rPr>
        <w:br/>
      </w:r>
      <w:r w:rsidRPr="0001540C">
        <w:rPr>
          <w:sz w:val="20"/>
          <w:szCs w:val="20"/>
        </w:rPr>
        <w:br/>
        <w:t xml:space="preserve"> For students enrolled in a dual-degree or joint program (e.g., MBA/MPH, MAPP/MPH) or otherwise completing coursework in more than one academic unit, the Chair will notify the Program Director of each affiliated unit of any substantiated violation so that records are documented within both academic units. A second offense arising from coursework in either unit will be treated as a second offense under this policy and addressed in accordance with the policies and procedures set forth herein.</w:t>
      </w:r>
    </w:p>
    <w:p w14:paraId="24EFE0A5" w14:textId="77777777" w:rsidR="00D81755" w:rsidRDefault="0073296A">
      <w:pPr>
        <w:spacing w:before="60" w:after="100"/>
        <w:rPr>
          <w:sz w:val="20"/>
          <w:szCs w:val="20"/>
        </w:rPr>
      </w:pPr>
      <w:r w:rsidRPr="0001540C">
        <w:rPr>
          <w:sz w:val="20"/>
          <w:szCs w:val="20"/>
        </w:rPr>
        <w:t>Unsubstantiated accusations will not be retained in the student’s academic file.</w:t>
      </w:r>
    </w:p>
    <w:p w14:paraId="2092D1EF" w14:textId="77777777" w:rsidR="00321DC9" w:rsidRDefault="00321DC9">
      <w:pPr>
        <w:spacing w:before="60" w:after="100"/>
        <w:rPr>
          <w:sz w:val="20"/>
          <w:szCs w:val="20"/>
        </w:rPr>
      </w:pPr>
    </w:p>
    <w:p w14:paraId="18366DE0" w14:textId="77777777" w:rsidR="00321DC9" w:rsidRDefault="00321DC9">
      <w:pPr>
        <w:spacing w:before="60" w:after="100"/>
        <w:rPr>
          <w:sz w:val="20"/>
          <w:szCs w:val="20"/>
        </w:rPr>
      </w:pPr>
    </w:p>
    <w:p w14:paraId="619B7413" w14:textId="77777777" w:rsidR="00321DC9" w:rsidRPr="0001540C" w:rsidRDefault="00321DC9">
      <w:pPr>
        <w:spacing w:before="60" w:after="100"/>
        <w:rPr>
          <w:sz w:val="20"/>
          <w:szCs w:val="20"/>
        </w:rPr>
      </w:pPr>
    </w:p>
    <w:p w14:paraId="24EFE0A6" w14:textId="77777777" w:rsidR="00D81755" w:rsidRPr="0001540C" w:rsidRDefault="0073296A">
      <w:pPr>
        <w:pStyle w:val="Heading1"/>
        <w:keepNext w:val="0"/>
        <w:spacing w:before="480" w:after="120"/>
        <w:rPr>
          <w:sz w:val="20"/>
          <w:szCs w:val="20"/>
        </w:rPr>
      </w:pPr>
      <w:bookmarkStart w:id="98" w:name="_heading=h.8fvq8d18x540" w:colFirst="0" w:colLast="0"/>
      <w:bookmarkEnd w:id="98"/>
      <w:r w:rsidRPr="0001540C">
        <w:rPr>
          <w:sz w:val="20"/>
          <w:szCs w:val="20"/>
        </w:rPr>
        <w:lastRenderedPageBreak/>
        <w:t>VIII. GENERAL PRINCIPLES AND UNIVERSITY POLICY ALIGNMENT</w:t>
      </w:r>
    </w:p>
    <w:p w14:paraId="24EFE0A8" w14:textId="7E3520EA" w:rsidR="00D81755" w:rsidRPr="0001540C" w:rsidRDefault="0073296A">
      <w:pPr>
        <w:spacing w:before="60" w:after="100"/>
        <w:rPr>
          <w:sz w:val="20"/>
          <w:szCs w:val="20"/>
        </w:rPr>
      </w:pPr>
      <w:r w:rsidRPr="0001540C">
        <w:rPr>
          <w:sz w:val="20"/>
          <w:szCs w:val="20"/>
        </w:rPr>
        <w:t>The PPH Academic Integrity Policy is aligned with and supplements the Stony Brook University Academic Judiciary policies and procedures. In all cases, University policy governs where it provides greater protection to students or more specific procedural requirements than this program-level policy.</w:t>
      </w:r>
      <w:bookmarkStart w:id="99" w:name="_heading=h.gvc7cy3fvlc8" w:colFirst="0" w:colLast="0"/>
      <w:bookmarkEnd w:id="99"/>
    </w:p>
    <w:p w14:paraId="24EFE0A9" w14:textId="77777777" w:rsidR="00D81755" w:rsidRPr="0001540C" w:rsidRDefault="0073296A">
      <w:pPr>
        <w:pStyle w:val="Heading1"/>
        <w:keepNext w:val="0"/>
        <w:spacing w:before="480" w:after="120"/>
        <w:rPr>
          <w:sz w:val="20"/>
          <w:szCs w:val="20"/>
        </w:rPr>
      </w:pPr>
      <w:r w:rsidRPr="0001540C">
        <w:rPr>
          <w:sz w:val="20"/>
          <w:szCs w:val="20"/>
        </w:rPr>
        <w:t>IX. SUMMARY: ACADEMIC INTEGRITY PROCESS AT A GLANCE</w:t>
      </w:r>
    </w:p>
    <w:p w14:paraId="24EFE0AA" w14:textId="77777777" w:rsidR="00D81755" w:rsidRPr="0001540C" w:rsidRDefault="0073296A">
      <w:pPr>
        <w:spacing w:before="60" w:after="80"/>
        <w:rPr>
          <w:color w:val="1F3864"/>
          <w:sz w:val="20"/>
          <w:szCs w:val="20"/>
        </w:rPr>
      </w:pPr>
      <w:r w:rsidRPr="0001540C">
        <w:rPr>
          <w:color w:val="1F3864"/>
          <w:sz w:val="20"/>
          <w:szCs w:val="20"/>
        </w:rPr>
        <w:t>Academic Integrity Violation Reported by Faculty</w:t>
      </w:r>
    </w:p>
    <w:p w14:paraId="24EFE0AB" w14:textId="77777777" w:rsidR="00D81755" w:rsidRPr="0001540C" w:rsidRDefault="0073296A">
      <w:pPr>
        <w:ind w:left="720"/>
        <w:rPr>
          <w:sz w:val="20"/>
          <w:szCs w:val="20"/>
        </w:rPr>
      </w:pPr>
      <w:r w:rsidRPr="0001540C">
        <w:rPr>
          <w:sz w:val="20"/>
          <w:szCs w:val="20"/>
        </w:rPr>
        <w:t>●     Faculty documents evidence and notifies the Program Director</w:t>
      </w:r>
    </w:p>
    <w:p w14:paraId="24EFE0AC" w14:textId="65EF9C07" w:rsidR="00D81755" w:rsidRPr="0001540C" w:rsidRDefault="0073296A">
      <w:pPr>
        <w:ind w:left="720"/>
        <w:rPr>
          <w:sz w:val="20"/>
          <w:szCs w:val="20"/>
        </w:rPr>
      </w:pPr>
      <w:r w:rsidRPr="0001540C">
        <w:rPr>
          <w:sz w:val="20"/>
          <w:szCs w:val="20"/>
        </w:rPr>
        <w:t xml:space="preserve">●     Program Director meets with the </w:t>
      </w:r>
      <w:r w:rsidR="00DA3661" w:rsidRPr="0001540C">
        <w:rPr>
          <w:sz w:val="20"/>
          <w:szCs w:val="20"/>
        </w:rPr>
        <w:t>faculty</w:t>
      </w:r>
      <w:r w:rsidRPr="0001540C">
        <w:rPr>
          <w:sz w:val="20"/>
          <w:szCs w:val="20"/>
        </w:rPr>
        <w:t xml:space="preserve"> and student to discuss the evidence, if no resolution the case is referred to the Committee</w:t>
      </w:r>
    </w:p>
    <w:p w14:paraId="24EFE0AD" w14:textId="77777777" w:rsidR="00D81755" w:rsidRPr="0001540C" w:rsidRDefault="0073296A">
      <w:pPr>
        <w:ind w:left="720"/>
        <w:rPr>
          <w:sz w:val="20"/>
          <w:szCs w:val="20"/>
        </w:rPr>
      </w:pPr>
      <w:r w:rsidRPr="0001540C">
        <w:rPr>
          <w:sz w:val="20"/>
          <w:szCs w:val="20"/>
        </w:rPr>
        <w:t>●     The Committee reviews all materials and determines whether the alleged conduct rises to the level of an academic dishonesty case.</w:t>
      </w:r>
    </w:p>
    <w:p w14:paraId="24EFE0AE" w14:textId="77777777" w:rsidR="00D81755" w:rsidRPr="0001540C" w:rsidRDefault="0073296A">
      <w:pPr>
        <w:ind w:left="720"/>
        <w:rPr>
          <w:sz w:val="20"/>
          <w:szCs w:val="20"/>
        </w:rPr>
      </w:pPr>
      <w:r w:rsidRPr="0001540C">
        <w:rPr>
          <w:sz w:val="20"/>
          <w:szCs w:val="20"/>
        </w:rPr>
        <w:t xml:space="preserve">●     The Committee notifies the </w:t>
      </w:r>
      <w:proofErr w:type="gramStart"/>
      <w:r w:rsidRPr="0001540C">
        <w:rPr>
          <w:sz w:val="20"/>
          <w:szCs w:val="20"/>
        </w:rPr>
        <w:t>student</w:t>
      </w:r>
      <w:proofErr w:type="gramEnd"/>
      <w:r w:rsidRPr="0001540C">
        <w:rPr>
          <w:sz w:val="20"/>
          <w:szCs w:val="20"/>
        </w:rPr>
        <w:t>(s) in writing of the formal accusation.</w:t>
      </w:r>
    </w:p>
    <w:p w14:paraId="24EFE0AF" w14:textId="77777777" w:rsidR="00D81755" w:rsidRPr="0001540C" w:rsidRDefault="0073296A">
      <w:pPr>
        <w:ind w:left="720"/>
        <w:rPr>
          <w:sz w:val="20"/>
          <w:szCs w:val="20"/>
        </w:rPr>
      </w:pPr>
      <w:r w:rsidRPr="0001540C">
        <w:rPr>
          <w:sz w:val="20"/>
          <w:szCs w:val="20"/>
        </w:rPr>
        <w:t>●     The student(s) has 5 business days to submit a written response.</w:t>
      </w:r>
    </w:p>
    <w:p w14:paraId="24EFE0B0" w14:textId="55D845E6" w:rsidR="00D81755" w:rsidRPr="0001540C" w:rsidRDefault="0073296A">
      <w:pPr>
        <w:ind w:left="720"/>
        <w:rPr>
          <w:sz w:val="20"/>
          <w:szCs w:val="20"/>
        </w:rPr>
      </w:pPr>
      <w:r w:rsidRPr="0001540C">
        <w:rPr>
          <w:sz w:val="20"/>
          <w:szCs w:val="20"/>
        </w:rPr>
        <w:t xml:space="preserve">●     </w:t>
      </w:r>
      <w:r w:rsidR="00DA3661" w:rsidRPr="0001540C">
        <w:rPr>
          <w:sz w:val="20"/>
          <w:szCs w:val="20"/>
        </w:rPr>
        <w:t>A Formal</w:t>
      </w:r>
      <w:r w:rsidRPr="0001540C">
        <w:rPr>
          <w:sz w:val="20"/>
          <w:szCs w:val="20"/>
        </w:rPr>
        <w:t xml:space="preserve"> Hearing is scheduled (min. 5 business days’ notice to student(s).</w:t>
      </w:r>
    </w:p>
    <w:p w14:paraId="24EFE0B1" w14:textId="77777777" w:rsidR="00D81755" w:rsidRPr="0001540C" w:rsidRDefault="0073296A">
      <w:pPr>
        <w:ind w:left="720"/>
        <w:rPr>
          <w:sz w:val="20"/>
          <w:szCs w:val="20"/>
        </w:rPr>
      </w:pPr>
      <w:r w:rsidRPr="0001540C">
        <w:rPr>
          <w:sz w:val="20"/>
          <w:szCs w:val="20"/>
        </w:rPr>
        <w:t>●     At the hearing the student can be found responsible or not responsible for violating the Academic Integrity Policy.</w:t>
      </w:r>
    </w:p>
    <w:p w14:paraId="24EFE0B2" w14:textId="77777777" w:rsidR="00D81755" w:rsidRPr="0001540C" w:rsidRDefault="0073296A">
      <w:pPr>
        <w:ind w:left="720"/>
        <w:rPr>
          <w:sz w:val="20"/>
          <w:szCs w:val="20"/>
        </w:rPr>
      </w:pPr>
      <w:r w:rsidRPr="0001540C">
        <w:rPr>
          <w:sz w:val="20"/>
          <w:szCs w:val="20"/>
        </w:rPr>
        <w:t>●     If found responsible the committee supports sanction based on faculty syllabus; decision communicated in writing within 5 business days.</w:t>
      </w:r>
    </w:p>
    <w:p w14:paraId="24EFE0B3" w14:textId="77777777" w:rsidR="00D81755" w:rsidRPr="0001540C" w:rsidRDefault="0073296A">
      <w:pPr>
        <w:ind w:left="720"/>
        <w:rPr>
          <w:sz w:val="20"/>
          <w:szCs w:val="20"/>
        </w:rPr>
      </w:pPr>
      <w:r w:rsidRPr="0001540C">
        <w:rPr>
          <w:sz w:val="20"/>
          <w:szCs w:val="20"/>
        </w:rPr>
        <w:t>●     Student(s) may appeal to the PPH Executive Director within 10 business days.</w:t>
      </w:r>
    </w:p>
    <w:p w14:paraId="24EFE0B4" w14:textId="77777777" w:rsidR="00D81755" w:rsidRPr="0001540C" w:rsidRDefault="0073296A">
      <w:pPr>
        <w:ind w:left="720"/>
        <w:rPr>
          <w:sz w:val="20"/>
          <w:szCs w:val="20"/>
        </w:rPr>
      </w:pPr>
      <w:r w:rsidRPr="0001540C">
        <w:rPr>
          <w:sz w:val="20"/>
          <w:szCs w:val="20"/>
        </w:rPr>
        <w:t xml:space="preserve">●     The Executive Director </w:t>
      </w:r>
      <w:proofErr w:type="gramStart"/>
      <w:r w:rsidRPr="0001540C">
        <w:rPr>
          <w:sz w:val="20"/>
          <w:szCs w:val="20"/>
        </w:rPr>
        <w:t>issues</w:t>
      </w:r>
      <w:proofErr w:type="gramEnd"/>
      <w:r w:rsidRPr="0001540C">
        <w:rPr>
          <w:sz w:val="20"/>
          <w:szCs w:val="20"/>
        </w:rPr>
        <w:t xml:space="preserve"> a decision within 10 business days (program-level final).</w:t>
      </w:r>
    </w:p>
    <w:p w14:paraId="24EFE0B6" w14:textId="5BC4898F" w:rsidR="00D81755" w:rsidRPr="0001540C" w:rsidRDefault="0073296A" w:rsidP="002D7695">
      <w:pPr>
        <w:spacing w:after="80"/>
        <w:ind w:left="720"/>
        <w:rPr>
          <w:b/>
          <w:bCs/>
        </w:rPr>
      </w:pPr>
      <w:bookmarkStart w:id="100" w:name="_heading=h.2ie2pbjfyq24" w:colFirst="0" w:colLast="0"/>
      <w:bookmarkEnd w:id="100"/>
      <w:r w:rsidRPr="0001540C">
        <w:rPr>
          <w:sz w:val="20"/>
          <w:szCs w:val="20"/>
        </w:rPr>
        <w:t>●     If student(s) is not satisfied with the PPH Executive Director decision, the student may pursue University-level appeal through the Executive Vice President of Health Sciences (within 10 days).</w:t>
      </w:r>
      <w:bookmarkStart w:id="101" w:name="_heading=h.mc74y3b38rvo" w:colFirst="0" w:colLast="0"/>
      <w:bookmarkEnd w:id="101"/>
      <w:sdt>
        <w:sdtPr>
          <w:tag w:val="goog_rdk_4"/>
          <w:id w:val="-1689713135"/>
        </w:sdtPr>
        <w:sdtEndPr/>
        <w:sdtContent>
          <w:sdt>
            <w:sdtPr>
              <w:tag w:val="goog_rdk_2"/>
              <w:id w:val="2058300613"/>
              <w:showingPlcHdr/>
            </w:sdtPr>
            <w:sdtEndPr/>
            <w:sdtContent>
              <w:r w:rsidR="002D7695" w:rsidRPr="0001540C">
                <w:t xml:space="preserve">     </w:t>
              </w:r>
            </w:sdtContent>
          </w:sdt>
          <w:sdt>
            <w:sdtPr>
              <w:tag w:val="goog_rdk_3"/>
              <w:id w:val="-1872326871"/>
              <w:showingPlcHdr/>
            </w:sdtPr>
            <w:sdtEndPr/>
            <w:sdtContent>
              <w:r w:rsidR="00E66416" w:rsidRPr="0001540C">
                <w:t xml:space="preserve">     </w:t>
              </w:r>
            </w:sdtContent>
          </w:sdt>
        </w:sdtContent>
      </w:sdt>
    </w:p>
    <w:p w14:paraId="24EFE0B7" w14:textId="77777777" w:rsidR="00D81755" w:rsidRDefault="0073296A">
      <w:pPr>
        <w:pStyle w:val="Heading2"/>
      </w:pPr>
      <w:bookmarkStart w:id="102" w:name="_heading=h.5odofboj77v6" w:colFirst="0" w:colLast="0"/>
      <w:bookmarkEnd w:id="102"/>
      <w:r>
        <w:t>STUDENT CONDUCT</w:t>
      </w:r>
    </w:p>
    <w:p w14:paraId="24EFE0B8" w14:textId="77777777" w:rsidR="00D81755" w:rsidRDefault="0073296A">
      <w:pPr>
        <w:tabs>
          <w:tab w:val="left" w:pos="-720"/>
          <w:tab w:val="left" w:pos="0"/>
          <w:tab w:val="left" w:pos="720"/>
          <w:tab w:val="left" w:pos="1440"/>
          <w:tab w:val="left" w:pos="2160"/>
          <w:tab w:val="left" w:pos="2880"/>
          <w:tab w:val="left" w:pos="3600"/>
          <w:tab w:val="left" w:pos="4320"/>
        </w:tabs>
        <w:jc w:val="both"/>
        <w:rPr>
          <w:sz w:val="20"/>
          <w:szCs w:val="20"/>
        </w:rPr>
      </w:pPr>
      <w:r>
        <w:rPr>
          <w:sz w:val="20"/>
          <w:szCs w:val="20"/>
        </w:rPr>
        <w:t>Stony Brook University expects students to respect the rights, privileges, and property of other people. Faculty are required to report to the Office of University Community Standards any disruptive behavior that interrupts their ability to teach, compromises the safety of the learning environment, or inhibits students' ability to learn.  Faculty members are required to follow their school-specific procedures.</w:t>
      </w:r>
    </w:p>
    <w:p w14:paraId="24EFE0B9" w14:textId="77777777" w:rsidR="00D81755" w:rsidRDefault="0073296A">
      <w:pPr>
        <w:tabs>
          <w:tab w:val="left" w:pos="-720"/>
          <w:tab w:val="left" w:pos="0"/>
          <w:tab w:val="left" w:pos="720"/>
          <w:tab w:val="left" w:pos="1440"/>
          <w:tab w:val="left" w:pos="2160"/>
          <w:tab w:val="left" w:pos="2880"/>
          <w:tab w:val="left" w:pos="3600"/>
          <w:tab w:val="left" w:pos="4320"/>
        </w:tabs>
        <w:rPr>
          <w:sz w:val="20"/>
          <w:szCs w:val="20"/>
        </w:rPr>
      </w:pPr>
      <w:r>
        <w:rPr>
          <w:sz w:val="20"/>
          <w:szCs w:val="20"/>
        </w:rPr>
        <w:t xml:space="preserve">For further information about the Code of Student Responsibility see: </w:t>
      </w:r>
      <w:hyperlink r:id="rId52">
        <w:r>
          <w:rPr>
            <w:color w:val="0000FF"/>
            <w:sz w:val="20"/>
            <w:szCs w:val="20"/>
            <w:u w:val="single"/>
          </w:rPr>
          <w:t xml:space="preserve">http://studentaffairs.stonybrook.edu/ucs/conduct/conduct.html </w:t>
        </w:r>
      </w:hyperlink>
      <w:r>
        <w:rPr>
          <w:sz w:val="20"/>
          <w:szCs w:val="20"/>
        </w:rPr>
        <w:t xml:space="preserve"> </w:t>
      </w:r>
    </w:p>
    <w:p w14:paraId="24EFE0BA" w14:textId="77777777" w:rsidR="00D81755" w:rsidRDefault="00D81755">
      <w:pPr>
        <w:rPr>
          <w:b/>
          <w:bCs/>
          <w:sz w:val="20"/>
          <w:szCs w:val="20"/>
        </w:rPr>
      </w:pPr>
    </w:p>
    <w:p w14:paraId="24EFE0BB" w14:textId="77777777" w:rsidR="00D81755" w:rsidRDefault="00D81755">
      <w:pPr>
        <w:rPr>
          <w:b/>
          <w:bCs/>
        </w:rPr>
      </w:pPr>
    </w:p>
    <w:p w14:paraId="24EFE0BC" w14:textId="77777777" w:rsidR="00D81755" w:rsidRDefault="0073296A">
      <w:pPr>
        <w:pStyle w:val="Heading2"/>
      </w:pPr>
      <w:bookmarkStart w:id="103" w:name="_heading=h.baxnuq6ag2jn" w:colFirst="0" w:colLast="0"/>
      <w:bookmarkEnd w:id="103"/>
      <w:r>
        <w:t>ATTENDANCE REQUIREMENTS</w:t>
      </w:r>
    </w:p>
    <w:p w14:paraId="24EFE0BD" w14:textId="77777777" w:rsidR="00D81755" w:rsidRDefault="0073296A">
      <w:pPr>
        <w:jc w:val="both"/>
        <w:rPr>
          <w:color w:val="000000"/>
          <w:sz w:val="20"/>
          <w:szCs w:val="20"/>
        </w:rPr>
      </w:pPr>
      <w:r>
        <w:rPr>
          <w:sz w:val="20"/>
          <w:szCs w:val="20"/>
        </w:rPr>
        <w:t xml:space="preserve">Attendance is mandatory, unless there is a medical reason or the student is excused by the Program Director or course instructor.  </w:t>
      </w:r>
      <w:r>
        <w:rPr>
          <w:color w:val="000000"/>
          <w:sz w:val="20"/>
          <w:szCs w:val="20"/>
        </w:rPr>
        <w:t>If a course instructor has no written policy in the syllabus regarding the consequences for being absent from class, the PPH policy will apply</w:t>
      </w:r>
      <w:proofErr w:type="gramStart"/>
      <w:r>
        <w:rPr>
          <w:color w:val="000000"/>
          <w:sz w:val="20"/>
          <w:szCs w:val="20"/>
        </w:rPr>
        <w:t>:  three</w:t>
      </w:r>
      <w:proofErr w:type="gramEnd"/>
      <w:r>
        <w:rPr>
          <w:color w:val="000000"/>
          <w:sz w:val="20"/>
          <w:szCs w:val="20"/>
        </w:rPr>
        <w:t xml:space="preserve"> or more unexcused absences from class will reduce the final course grade by a full letter grade (e.g., A to B).</w:t>
      </w:r>
    </w:p>
    <w:p w14:paraId="24EFE0BE" w14:textId="77777777" w:rsidR="00D81755" w:rsidRDefault="0073296A">
      <w:pPr>
        <w:pStyle w:val="Heading2"/>
      </w:pPr>
      <w:bookmarkStart w:id="104" w:name="_heading=h.1uysnjlp6iol" w:colFirst="0" w:colLast="0"/>
      <w:bookmarkEnd w:id="104"/>
      <w:r>
        <w:t>HEALTH SCIENCES COMPLIANCE</w:t>
      </w:r>
    </w:p>
    <w:p w14:paraId="24EFE0BF" w14:textId="77777777" w:rsidR="00D81755" w:rsidRDefault="0073296A">
      <w:pPr>
        <w:jc w:val="both"/>
        <w:rPr>
          <w:b/>
          <w:bCs/>
          <w:sz w:val="20"/>
          <w:szCs w:val="20"/>
        </w:rPr>
      </w:pPr>
      <w:r>
        <w:rPr>
          <w:sz w:val="20"/>
          <w:szCs w:val="20"/>
        </w:rPr>
        <w:t>In accordance with the Health Sciences Compliance Office, all PPH students are required to complete a compliance module in Blackboard. This module includes Health Care Compliance, HIPAA and FERPA Training. PPH students are required to complete this within one month of beginning their academic program.</w:t>
      </w:r>
    </w:p>
    <w:p w14:paraId="24EFE0C0" w14:textId="77777777" w:rsidR="00D81755" w:rsidRDefault="0073296A">
      <w:pPr>
        <w:pStyle w:val="Heading2"/>
      </w:pPr>
      <w:bookmarkStart w:id="105" w:name="_heading=h.48tphjxp6tpn" w:colFirst="0" w:colLast="0"/>
      <w:bookmarkEnd w:id="105"/>
      <w:r>
        <w:t>HIPAA TRAINING AND P</w:t>
      </w:r>
      <w:bookmarkStart w:id="106" w:name="bookmark=id.28h4qwu" w:colFirst="0" w:colLast="0"/>
      <w:bookmarkEnd w:id="106"/>
      <w:r>
        <w:t>ROTECTION OF HUMAN SUBJECTS TRAINING</w:t>
      </w:r>
    </w:p>
    <w:p w14:paraId="24EFE0C1" w14:textId="77777777" w:rsidR="00D81755" w:rsidRDefault="0073296A">
      <w:pPr>
        <w:pBdr>
          <w:top w:val="nil"/>
          <w:left w:val="nil"/>
          <w:bottom w:val="nil"/>
          <w:right w:val="nil"/>
          <w:between w:val="nil"/>
        </w:pBdr>
        <w:rPr>
          <w:color w:val="0000FF"/>
          <w:sz w:val="20"/>
          <w:szCs w:val="20"/>
          <w:u w:val="single"/>
        </w:rPr>
      </w:pPr>
      <w:r>
        <w:rPr>
          <w:color w:val="000000"/>
          <w:sz w:val="20"/>
          <w:szCs w:val="20"/>
        </w:rPr>
        <w:t xml:space="preserve">In addition to the Health Sciences Compliance training, the PPH requires all students to successfully complete an online training program in Health Insurance Portability and Accountability Act (HIPAA) and protection of human subjects in research, offered by the Collaborative Institutional Training Initiative (CITI) at: </w:t>
      </w:r>
      <w:hyperlink r:id="rId53">
        <w:r>
          <w:rPr>
            <w:color w:val="0000FF"/>
            <w:sz w:val="20"/>
            <w:szCs w:val="20"/>
            <w:u w:val="single"/>
          </w:rPr>
          <w:t>http://www.citiprogram.org</w:t>
        </w:r>
      </w:hyperlink>
      <w:r>
        <w:rPr>
          <w:color w:val="000000"/>
          <w:sz w:val="20"/>
          <w:szCs w:val="20"/>
        </w:rPr>
        <w:t xml:space="preserve">.  </w:t>
      </w:r>
    </w:p>
    <w:p w14:paraId="24EFE0C2" w14:textId="77777777" w:rsidR="00D81755" w:rsidRDefault="0073296A">
      <w:pPr>
        <w:pBdr>
          <w:top w:val="nil"/>
          <w:left w:val="nil"/>
          <w:bottom w:val="nil"/>
          <w:right w:val="nil"/>
          <w:between w:val="nil"/>
        </w:pBdr>
        <w:jc w:val="both"/>
        <w:rPr>
          <w:color w:val="000000"/>
          <w:sz w:val="20"/>
          <w:szCs w:val="20"/>
        </w:rPr>
      </w:pPr>
      <w:r>
        <w:rPr>
          <w:color w:val="000000"/>
          <w:sz w:val="20"/>
          <w:szCs w:val="20"/>
        </w:rPr>
        <w:br/>
        <w:t xml:space="preserve">This training is part of the Human Subject Protections Program at Stony Brook, which ensures that the University keeps </w:t>
      </w:r>
      <w:proofErr w:type="gramStart"/>
      <w:r>
        <w:rPr>
          <w:color w:val="000000"/>
          <w:sz w:val="20"/>
          <w:szCs w:val="20"/>
        </w:rPr>
        <w:t>safe those individuals who volunteer to participate in our research activities as well as the use of protected data</w:t>
      </w:r>
      <w:proofErr w:type="gramEnd"/>
      <w:r>
        <w:rPr>
          <w:color w:val="000000"/>
          <w:sz w:val="20"/>
          <w:szCs w:val="20"/>
        </w:rPr>
        <w:t>.</w:t>
      </w:r>
    </w:p>
    <w:p w14:paraId="24EFE0C3" w14:textId="77777777" w:rsidR="00D81755" w:rsidRDefault="00D81755">
      <w:pPr>
        <w:pBdr>
          <w:top w:val="nil"/>
          <w:left w:val="nil"/>
          <w:bottom w:val="nil"/>
          <w:right w:val="nil"/>
          <w:between w:val="nil"/>
        </w:pBdr>
        <w:jc w:val="both"/>
        <w:rPr>
          <w:color w:val="000000"/>
          <w:sz w:val="20"/>
          <w:szCs w:val="20"/>
        </w:rPr>
      </w:pPr>
    </w:p>
    <w:p w14:paraId="24EFE0C4" w14:textId="77777777" w:rsidR="00D81755" w:rsidRDefault="0073296A">
      <w:pPr>
        <w:pBdr>
          <w:top w:val="nil"/>
          <w:left w:val="nil"/>
          <w:bottom w:val="nil"/>
          <w:right w:val="nil"/>
          <w:between w:val="nil"/>
        </w:pBdr>
        <w:rPr>
          <w:color w:val="000000"/>
          <w:sz w:val="20"/>
          <w:szCs w:val="20"/>
        </w:rPr>
      </w:pPr>
      <w:r>
        <w:rPr>
          <w:color w:val="000000"/>
          <w:sz w:val="20"/>
          <w:szCs w:val="20"/>
        </w:rPr>
        <w:t xml:space="preserve">Protection of human subjects training must be completed as part of new student Orientation or by the start of the Fall semester in which the student matriculates in the Program. A copy of the certificate of completion from CITI must be provided to the </w:t>
      </w:r>
      <w:r>
        <w:rPr>
          <w:sz w:val="20"/>
          <w:szCs w:val="20"/>
        </w:rPr>
        <w:t xml:space="preserve">Associate Director for Student and Academic Affairs, sent to </w:t>
      </w:r>
      <w:hyperlink r:id="rId54">
        <w:r>
          <w:rPr>
            <w:color w:val="1155CC"/>
            <w:sz w:val="20"/>
            <w:szCs w:val="20"/>
            <w:u w:val="single"/>
          </w:rPr>
          <w:t>publichealth@stonybrookmedicine.edu</w:t>
        </w:r>
      </w:hyperlink>
      <w:r>
        <w:rPr>
          <w:sz w:val="20"/>
          <w:szCs w:val="20"/>
        </w:rPr>
        <w:t xml:space="preserve">. </w:t>
      </w:r>
      <w:r>
        <w:rPr>
          <w:color w:val="000000"/>
          <w:sz w:val="20"/>
          <w:szCs w:val="20"/>
        </w:rPr>
        <w:br/>
      </w:r>
    </w:p>
    <w:p w14:paraId="24EFE0C5" w14:textId="77777777" w:rsidR="00D81755" w:rsidRPr="00E66416" w:rsidRDefault="0073296A">
      <w:bookmarkStart w:id="107" w:name="_heading=h.9i65yqhhvdap" w:colFirst="0" w:colLast="0"/>
      <w:bookmarkEnd w:id="107"/>
      <w:r>
        <w:rPr>
          <w:b/>
          <w:bCs/>
          <w:sz w:val="20"/>
          <w:szCs w:val="20"/>
        </w:rPr>
        <w:t>STUDENT BACKGROUND CHECKS</w:t>
      </w:r>
      <w:sdt>
        <w:sdtPr>
          <w:tag w:val="goog_rdk_5"/>
          <w:id w:val="-202505554"/>
        </w:sdtPr>
        <w:sdtEndPr/>
        <w:sdtContent/>
      </w:sdt>
      <w:r>
        <w:rPr>
          <w:b/>
          <w:bCs/>
          <w:sz w:val="20"/>
          <w:szCs w:val="20"/>
        </w:rPr>
        <w:br/>
      </w:r>
      <w:r w:rsidRPr="00E66416">
        <w:rPr>
          <w:sz w:val="20"/>
          <w:szCs w:val="20"/>
        </w:rPr>
        <w:t xml:space="preserve">Students who are required to participate in a practical experience are advised that some of the facilities they choose to select for their placements may require background checks as a prerequisite to placement. Such background checks may include, but are not limited </w:t>
      </w:r>
      <w:r w:rsidRPr="00E66416">
        <w:rPr>
          <w:sz w:val="20"/>
          <w:szCs w:val="20"/>
        </w:rPr>
        <w:lastRenderedPageBreak/>
        <w:t>to, Social Security trace, fingerprinting for criminal history, drug testing, sex offender registries, child abuse and maltreatment screening, and federal and state health care program exclusion screening. Students seeking placement in a facility requiring background checks are personally responsible for obtaining the background check (including cost, unless the clinical site is willing to assume the cost) and may bear the responsibility of delivering the required documentation to the facility. It will be the decision of the site to determine the acceptance of students into its facility.</w:t>
      </w:r>
    </w:p>
    <w:p w14:paraId="24EFE0C6" w14:textId="77777777" w:rsidR="00D81755" w:rsidRDefault="0073296A">
      <w:pPr>
        <w:pStyle w:val="Heading2"/>
      </w:pPr>
      <w:bookmarkStart w:id="108" w:name="_heading=h.qrspj9u17osb" w:colFirst="0" w:colLast="0"/>
      <w:bookmarkEnd w:id="108"/>
      <w:r>
        <w:t>NON-MATRICULATED STUDENTS</w:t>
      </w:r>
    </w:p>
    <w:p w14:paraId="24EFE0C7" w14:textId="77777777" w:rsidR="00D81755" w:rsidRDefault="0073296A">
      <w:pPr>
        <w:jc w:val="both"/>
        <w:rPr>
          <w:sz w:val="20"/>
          <w:szCs w:val="20"/>
        </w:rPr>
      </w:pPr>
      <w:r>
        <w:rPr>
          <w:sz w:val="20"/>
          <w:szCs w:val="20"/>
        </w:rPr>
        <w:t>Any person holding a bachelor’s degree, its equivalent, or an advanced degree from an accredited institution of higher learning is eligible to be considered for admission to the University as a non-matriculated graduate student. A maximum of twelve (12) credits may be taken as a non-matriculated student in the PPH.  Permission to enroll in courses must be obtained from the Associate Director for Academic and Student Affairs.  Non-degree students who later wish to pursue a graduate degree will need to make a formal application for admission.</w:t>
      </w:r>
    </w:p>
    <w:p w14:paraId="24EFE0C8" w14:textId="77777777" w:rsidR="00D81755" w:rsidRDefault="0073296A">
      <w:pPr>
        <w:pStyle w:val="Heading2"/>
      </w:pPr>
      <w:bookmarkStart w:id="109" w:name="_heading=h.8pcie7nld824" w:colFirst="0" w:colLast="0"/>
      <w:bookmarkEnd w:id="109"/>
      <w:r>
        <w:t>SEXUAL HARASSMENT POLICY</w:t>
      </w:r>
    </w:p>
    <w:p w14:paraId="24EFE0C9" w14:textId="77777777" w:rsidR="00D81755" w:rsidRDefault="0073296A">
      <w:pPr>
        <w:jc w:val="both"/>
        <w:rPr>
          <w:sz w:val="20"/>
          <w:szCs w:val="20"/>
        </w:rPr>
      </w:pPr>
      <w:r>
        <w:rPr>
          <w:sz w:val="20"/>
          <w:szCs w:val="20"/>
        </w:rPr>
        <w:t xml:space="preserve">Stony Brook University and the PPH faculty and staff are committed to creating and maintaining a working environment that is free from all forms of inappropriate and disrespectful conduct that may be deemed as sexual harassment. Harassment </w:t>
      </w:r>
      <w:proofErr w:type="gramStart"/>
      <w:r>
        <w:rPr>
          <w:sz w:val="20"/>
          <w:szCs w:val="20"/>
        </w:rPr>
        <w:t>on the basis of</w:t>
      </w:r>
      <w:proofErr w:type="gramEnd"/>
      <w:r>
        <w:rPr>
          <w:sz w:val="20"/>
          <w:szCs w:val="20"/>
        </w:rPr>
        <w:t xml:space="preserve"> sex is a form of sexual discrimination and violates Title VII of the Civil Rights Act of 1964, as amended, Title IX of the Education Amendments of 1972, the New York State Human Rights Law, and University policies and regulations. Stony Brook University reaffirms the principle that students, faculty and staff have the right to be free from sex discrimination in the form of sexual harassment inflicted by any member of the campus community. This community includes, but is not limited to, employees, students, visitors, contractors, and vendors associated with Stony Brook. Sexual harassment is contrary to the University’s values and standards, which recognize the dignity and worth of each member of the campus community.</w:t>
      </w:r>
    </w:p>
    <w:p w14:paraId="24EFE0CA" w14:textId="77777777" w:rsidR="00D81755" w:rsidRDefault="0073296A">
      <w:pPr>
        <w:spacing w:before="280" w:after="280"/>
        <w:jc w:val="both"/>
        <w:rPr>
          <w:sz w:val="20"/>
          <w:szCs w:val="20"/>
        </w:rPr>
      </w:pPr>
      <w:r>
        <w:rPr>
          <w:sz w:val="20"/>
          <w:szCs w:val="20"/>
        </w:rPr>
        <w:t>Unwelcome sexual advances, requests for sexual favors, and other verbal or physical conduct of a sexual nature constitute sexual harassment when:</w:t>
      </w:r>
    </w:p>
    <w:p w14:paraId="24EFE0CB" w14:textId="77777777" w:rsidR="00D81755" w:rsidRDefault="0073296A">
      <w:pPr>
        <w:numPr>
          <w:ilvl w:val="0"/>
          <w:numId w:val="6"/>
        </w:numPr>
        <w:spacing w:before="280"/>
        <w:jc w:val="both"/>
        <w:rPr>
          <w:sz w:val="20"/>
          <w:szCs w:val="20"/>
        </w:rPr>
      </w:pPr>
      <w:r>
        <w:rPr>
          <w:sz w:val="20"/>
          <w:szCs w:val="20"/>
        </w:rPr>
        <w:t>submission to such conduct is made, either explicitly or implicitly, a term or condition of an individual’s employment or academic advancement;</w:t>
      </w:r>
    </w:p>
    <w:p w14:paraId="24EFE0CC" w14:textId="77777777" w:rsidR="00D81755" w:rsidRDefault="0073296A">
      <w:pPr>
        <w:numPr>
          <w:ilvl w:val="0"/>
          <w:numId w:val="6"/>
        </w:numPr>
        <w:jc w:val="both"/>
        <w:rPr>
          <w:sz w:val="20"/>
          <w:szCs w:val="20"/>
        </w:rPr>
      </w:pPr>
      <w:r>
        <w:rPr>
          <w:sz w:val="20"/>
          <w:szCs w:val="20"/>
        </w:rPr>
        <w:t>submission to, or rejection of, such conduct by an individual is used as the basis for employment or academic decisions affecting such individual;</w:t>
      </w:r>
    </w:p>
    <w:p w14:paraId="24EFE0CD" w14:textId="77777777" w:rsidR="00D81755" w:rsidRDefault="0073296A">
      <w:pPr>
        <w:numPr>
          <w:ilvl w:val="0"/>
          <w:numId w:val="6"/>
        </w:numPr>
        <w:spacing w:after="280"/>
        <w:jc w:val="both"/>
        <w:rPr>
          <w:sz w:val="20"/>
          <w:szCs w:val="20"/>
        </w:rPr>
      </w:pPr>
      <w:proofErr w:type="gramStart"/>
      <w:r>
        <w:rPr>
          <w:sz w:val="20"/>
          <w:szCs w:val="20"/>
        </w:rPr>
        <w:t>such</w:t>
      </w:r>
      <w:proofErr w:type="gramEnd"/>
      <w:r>
        <w:rPr>
          <w:sz w:val="20"/>
          <w:szCs w:val="20"/>
        </w:rPr>
        <w:t xml:space="preserve"> conduct has the purpose or effect of unreasonably interfering with an individual’s work or academic performance, or creating an intimidating, hostile, or offensive working, living, or academic environment.</w:t>
      </w:r>
    </w:p>
    <w:p w14:paraId="24EFE0CE" w14:textId="77777777" w:rsidR="00D81755" w:rsidRDefault="0073296A">
      <w:pPr>
        <w:spacing w:before="280" w:after="280"/>
        <w:jc w:val="both"/>
        <w:rPr>
          <w:sz w:val="20"/>
          <w:szCs w:val="20"/>
        </w:rPr>
      </w:pPr>
      <w:r>
        <w:rPr>
          <w:sz w:val="20"/>
          <w:szCs w:val="20"/>
        </w:rPr>
        <w:t xml:space="preserve">The University is responsible for, and fully committed to, the prevention and elimination of unlawful sexual harassment. Deans, Department Chairs, Directors, Administrators, Managers and Supervisors are responsible for promoting an atmosphere that prohibits such unacceptable behavior. Individuals who are affected by, or are aware of, suspected cases of sexual harassment are urged to bring such situations to the University’s attention by contacting the Office of Institutional Diversity and Equity. The Office of Institutional Diversity and Equity has professional staff trained to investigate and </w:t>
      </w:r>
      <w:proofErr w:type="gramStart"/>
      <w:r>
        <w:rPr>
          <w:sz w:val="20"/>
          <w:szCs w:val="20"/>
        </w:rPr>
        <w:t>provide assistance</w:t>
      </w:r>
      <w:proofErr w:type="gramEnd"/>
      <w:r>
        <w:rPr>
          <w:sz w:val="20"/>
          <w:szCs w:val="20"/>
        </w:rPr>
        <w:t xml:space="preserve"> regarding issues of sexual </w:t>
      </w:r>
      <w:proofErr w:type="gramStart"/>
      <w:r>
        <w:rPr>
          <w:sz w:val="20"/>
          <w:szCs w:val="20"/>
        </w:rPr>
        <w:t>harassment, and</w:t>
      </w:r>
      <w:proofErr w:type="gramEnd"/>
      <w:r>
        <w:rPr>
          <w:sz w:val="20"/>
          <w:szCs w:val="20"/>
        </w:rPr>
        <w:t xml:space="preserve"> can be reached by calling (631) 632-6280.</w:t>
      </w:r>
    </w:p>
    <w:p w14:paraId="24EFE0CF" w14:textId="77777777" w:rsidR="00D81755" w:rsidRDefault="0073296A">
      <w:pPr>
        <w:pStyle w:val="Heading2"/>
      </w:pPr>
      <w:bookmarkStart w:id="110" w:name="_heading=h.ofks4h8euja7" w:colFirst="0" w:colLast="0"/>
      <w:bookmarkEnd w:id="110"/>
      <w:r>
        <w:t>DIVERSITY, EQUITY AND INCLUSIVENESS</w:t>
      </w:r>
    </w:p>
    <w:p w14:paraId="24EFE0D1" w14:textId="0892BD8F" w:rsidR="00D81755" w:rsidRPr="008A6D71" w:rsidRDefault="0073296A" w:rsidP="008A6D71">
      <w:pPr>
        <w:rPr>
          <w:sz w:val="20"/>
          <w:szCs w:val="20"/>
        </w:rPr>
      </w:pPr>
      <w:r>
        <w:rPr>
          <w:sz w:val="20"/>
          <w:szCs w:val="20"/>
        </w:rPr>
        <w:t xml:space="preserve">The PPH is committed to creating and maintaining a climate of diversity, equity and inclusiveness. The PPH endorses </w:t>
      </w:r>
      <w:hyperlink r:id="rId55" w:history="1">
        <w:r w:rsidRPr="008A6D71">
          <w:rPr>
            <w:rStyle w:val="Hyperlink"/>
            <w:sz w:val="20"/>
            <w:szCs w:val="20"/>
          </w:rPr>
          <w:t>ASPPH’s Statement of Commitment to Zero Tolerance of Harassment and Discrimination</w:t>
        </w:r>
      </w:hyperlink>
      <w:r>
        <w:rPr>
          <w:sz w:val="20"/>
          <w:szCs w:val="20"/>
        </w:rPr>
        <w:t>,</w:t>
      </w:r>
      <w:r w:rsidR="004F0AB9">
        <w:rPr>
          <w:sz w:val="20"/>
          <w:szCs w:val="20"/>
        </w:rPr>
        <w:t xml:space="preserve"> </w:t>
      </w:r>
      <w:r>
        <w:rPr>
          <w:color w:val="000000"/>
          <w:sz w:val="20"/>
          <w:szCs w:val="20"/>
        </w:rPr>
        <w:t xml:space="preserve">and the </w:t>
      </w:r>
      <w:hyperlink r:id="rId56" w:history="1">
        <w:r w:rsidRPr="0054234B">
          <w:rPr>
            <w:rStyle w:val="Hyperlink"/>
            <w:sz w:val="20"/>
            <w:szCs w:val="20"/>
          </w:rPr>
          <w:t>Association of University Programs in Health Administration Statement of Commitment to Diversity, Equity, Inclusion, Belonging and Social Justice</w:t>
        </w:r>
      </w:hyperlink>
      <w:r w:rsidR="008A6D71">
        <w:rPr>
          <w:color w:val="000000"/>
          <w:sz w:val="20"/>
          <w:szCs w:val="20"/>
        </w:rPr>
        <w:t>.</w:t>
      </w:r>
    </w:p>
    <w:p w14:paraId="24EFE0D3" w14:textId="77777777" w:rsidR="00D81755" w:rsidRDefault="00D81755">
      <w:pPr>
        <w:rPr>
          <w:sz w:val="20"/>
          <w:szCs w:val="20"/>
        </w:rPr>
      </w:pPr>
    </w:p>
    <w:p w14:paraId="24EFE0D4" w14:textId="77777777" w:rsidR="00D81755" w:rsidRDefault="0073296A">
      <w:pPr>
        <w:rPr>
          <w:sz w:val="20"/>
          <w:szCs w:val="20"/>
        </w:rPr>
      </w:pPr>
      <w:r>
        <w:rPr>
          <w:sz w:val="20"/>
          <w:szCs w:val="20"/>
        </w:rPr>
        <w:t xml:space="preserve">Consistent with federal and state guidelines, Stony Brook University and the </w:t>
      </w:r>
      <w:r>
        <w:rPr>
          <w:i/>
          <w:iCs/>
          <w:sz w:val="20"/>
          <w:szCs w:val="20"/>
        </w:rPr>
        <w:t>Program in Public Health</w:t>
      </w:r>
      <w:r>
        <w:rPr>
          <w:sz w:val="20"/>
          <w:szCs w:val="20"/>
        </w:rPr>
        <w:t xml:space="preserve"> do not discriminate </w:t>
      </w:r>
      <w:proofErr w:type="gramStart"/>
      <w:r>
        <w:rPr>
          <w:sz w:val="20"/>
          <w:szCs w:val="20"/>
        </w:rPr>
        <w:t>on the basis of</w:t>
      </w:r>
      <w:proofErr w:type="gramEnd"/>
      <w:r>
        <w:rPr>
          <w:sz w:val="20"/>
          <w:szCs w:val="20"/>
        </w:rPr>
        <w:t xml:space="preserve"> race, color, sex, age, ethnicity, religion, national origin, sexual orientation, disability, marital status, or veterans' status in its educational programs or employment. If you are a student or an employee of Stony Brook University and you consider yourself to be a target of discrimination or harassment, you may file a complaint in writing with the Office of Institutional Diversity and Equity. </w:t>
      </w:r>
    </w:p>
    <w:p w14:paraId="24EFE0D5" w14:textId="77777777" w:rsidR="00D81755" w:rsidRDefault="0073296A">
      <w:pPr>
        <w:rPr>
          <w:sz w:val="20"/>
          <w:szCs w:val="20"/>
        </w:rPr>
      </w:pPr>
      <w:r>
        <w:rPr>
          <w:sz w:val="20"/>
          <w:szCs w:val="20"/>
        </w:rPr>
        <w:t>If you choose to file a complaint within the University, you do not lose your right to file with an outside enforcement agency such as the State Division of Human Rights, Equal Employment Opportunity Commission, or the Office of Civil Rights. </w:t>
      </w:r>
      <w:r>
        <w:rPr>
          <w:sz w:val="20"/>
          <w:szCs w:val="20"/>
        </w:rPr>
        <w:br/>
        <w:t xml:space="preserve">For additional information go to: </w:t>
      </w:r>
      <w:hyperlink r:id="rId57">
        <w:r>
          <w:rPr>
            <w:color w:val="0000FF"/>
            <w:sz w:val="20"/>
            <w:szCs w:val="20"/>
            <w:u w:val="single"/>
          </w:rPr>
          <w:t>https://www.stonybrook.edu/commcms/oea/</w:t>
        </w:r>
      </w:hyperlink>
      <w:r>
        <w:rPr>
          <w:sz w:val="20"/>
          <w:szCs w:val="20"/>
        </w:rPr>
        <w:t xml:space="preserve"> </w:t>
      </w:r>
      <w:r>
        <w:rPr>
          <w:sz w:val="20"/>
          <w:szCs w:val="20"/>
        </w:rPr>
        <w:br/>
      </w:r>
    </w:p>
    <w:p w14:paraId="24EFE0D6" w14:textId="77777777" w:rsidR="00D81755" w:rsidRDefault="0073296A">
      <w:pPr>
        <w:rPr>
          <w:sz w:val="20"/>
          <w:szCs w:val="20"/>
        </w:rPr>
      </w:pPr>
      <w:r>
        <w:rPr>
          <w:sz w:val="20"/>
          <w:szCs w:val="20"/>
        </w:rPr>
        <w:t>Stony Brook University has had a longstanding commitment to express and to demonstrate Equal Employment and Educational Opportunity for all persons in our community, and further, to afford all faculty, staff and members of all groups an environment in which the integrity of all is assumed and each individual is treated with dignity, respect, and fairness.</w:t>
      </w:r>
    </w:p>
    <w:p w14:paraId="24EFE0D7" w14:textId="77777777" w:rsidR="00D81755" w:rsidRDefault="00D81755">
      <w:pPr>
        <w:rPr>
          <w:sz w:val="20"/>
          <w:szCs w:val="20"/>
        </w:rPr>
      </w:pPr>
    </w:p>
    <w:p w14:paraId="24EFE0D8" w14:textId="77777777" w:rsidR="00D81755" w:rsidRDefault="0073296A">
      <w:pPr>
        <w:pBdr>
          <w:top w:val="nil"/>
          <w:left w:val="nil"/>
          <w:bottom w:val="nil"/>
          <w:right w:val="nil"/>
          <w:between w:val="nil"/>
        </w:pBdr>
        <w:jc w:val="both"/>
        <w:rPr>
          <w:color w:val="000000"/>
          <w:sz w:val="20"/>
          <w:szCs w:val="20"/>
        </w:rPr>
      </w:pPr>
      <w:r>
        <w:rPr>
          <w:color w:val="000000"/>
          <w:sz w:val="20"/>
          <w:szCs w:val="20"/>
        </w:rPr>
        <w:lastRenderedPageBreak/>
        <w:t>In compliance with the Civil Rights Act of 1964 (Title VII), as amended, Title IX of the Education Amendments of 1972, The Rehabilitation Act of 1973, The Age Discrimination in Employment Act, the Americans with Disabilities Act and the New York State Human Rights Law, Stony Brook University prohibits unlawful discrimination and harassment on the basis of race, color, sex, age, religion, national origin, sexual orientation, disability, marital status, or status as a disabled or Vietnam-era veteran in the implementation of any of its policies, procedures, or practices regarding the terms, conditions, and privileges of employment and/or access for students, faculty, and staff. This non-discrimination policy affects all employment practices including, but not limited to, recruiting, hiring, transfers, promotions, benefits, compensation, training, educational opportunities, and terminations.</w:t>
      </w:r>
    </w:p>
    <w:p w14:paraId="24EFE0D9" w14:textId="77777777" w:rsidR="00D81755" w:rsidRDefault="00D81755">
      <w:pPr>
        <w:pBdr>
          <w:top w:val="nil"/>
          <w:left w:val="nil"/>
          <w:bottom w:val="nil"/>
          <w:right w:val="nil"/>
          <w:between w:val="nil"/>
        </w:pBdr>
        <w:jc w:val="both"/>
        <w:rPr>
          <w:sz w:val="20"/>
          <w:szCs w:val="20"/>
        </w:rPr>
      </w:pPr>
    </w:p>
    <w:p w14:paraId="24EFE0DA" w14:textId="77777777" w:rsidR="00D81755" w:rsidRDefault="0073296A">
      <w:pPr>
        <w:pBdr>
          <w:top w:val="nil"/>
          <w:left w:val="nil"/>
          <w:bottom w:val="nil"/>
          <w:right w:val="nil"/>
          <w:between w:val="nil"/>
        </w:pBdr>
        <w:jc w:val="both"/>
        <w:rPr>
          <w:color w:val="000000"/>
          <w:sz w:val="20"/>
          <w:szCs w:val="20"/>
        </w:rPr>
      </w:pPr>
      <w:r>
        <w:rPr>
          <w:color w:val="000000"/>
          <w:sz w:val="20"/>
          <w:szCs w:val="20"/>
        </w:rPr>
        <w:t>The University’s administration, faculty, staff, and students are each responsible for creating and maintaining an environment conducive to work, study, and learning. The result of harassment and discrimination, in any form prohibited by this policy, is to impede the realization of the University’s mission to provide an education of distinction in a dignified and respectful learning and employment environment. Any such unlawful discrimination or harassment in any venue of Stony Brook University will not be tolerated.</w:t>
      </w:r>
    </w:p>
    <w:p w14:paraId="24EFE0DB" w14:textId="77777777" w:rsidR="00D81755" w:rsidRDefault="0073296A">
      <w:pPr>
        <w:pStyle w:val="Heading2"/>
      </w:pPr>
      <w:bookmarkStart w:id="111" w:name="_heading=h.k3a8jndkeakb" w:colFirst="0" w:colLast="0"/>
      <w:bookmarkEnd w:id="111"/>
      <w:r>
        <w:t>CAMPUS SAFETY</w:t>
      </w:r>
    </w:p>
    <w:p w14:paraId="24EFE0DC" w14:textId="77777777" w:rsidR="00D81755" w:rsidRDefault="0073296A">
      <w:pPr>
        <w:pBdr>
          <w:top w:val="nil"/>
          <w:left w:val="nil"/>
          <w:bottom w:val="nil"/>
          <w:right w:val="nil"/>
          <w:between w:val="nil"/>
        </w:pBdr>
        <w:jc w:val="both"/>
        <w:rPr>
          <w:b/>
          <w:bCs/>
          <w:color w:val="000000"/>
          <w:sz w:val="20"/>
          <w:szCs w:val="20"/>
        </w:rPr>
      </w:pPr>
      <w:r>
        <w:rPr>
          <w:color w:val="000000"/>
          <w:sz w:val="20"/>
          <w:szCs w:val="20"/>
        </w:rPr>
        <w:t>Campus safety is a priority for Stony Brook University and there is a variety of information and resources available to students, faculty, and staff. Some highlights are listed below, but for more detailed information visit: http://www.stonybrook.edu/sb/safety/</w:t>
      </w:r>
    </w:p>
    <w:p w14:paraId="24EFE0DD" w14:textId="77777777" w:rsidR="00D81755" w:rsidRDefault="00D81755">
      <w:pPr>
        <w:pBdr>
          <w:top w:val="nil"/>
          <w:left w:val="nil"/>
          <w:bottom w:val="nil"/>
          <w:right w:val="nil"/>
          <w:between w:val="nil"/>
        </w:pBdr>
        <w:jc w:val="both"/>
        <w:rPr>
          <w:b/>
          <w:bCs/>
          <w:i/>
          <w:iCs/>
          <w:color w:val="000000"/>
          <w:sz w:val="20"/>
          <w:szCs w:val="20"/>
        </w:rPr>
      </w:pPr>
    </w:p>
    <w:p w14:paraId="24EFE0DE" w14:textId="77777777" w:rsidR="00D81755" w:rsidRDefault="0073296A">
      <w:pPr>
        <w:pBdr>
          <w:top w:val="nil"/>
          <w:left w:val="nil"/>
          <w:bottom w:val="nil"/>
          <w:right w:val="nil"/>
          <w:between w:val="nil"/>
        </w:pBdr>
        <w:jc w:val="both"/>
        <w:rPr>
          <w:color w:val="000000"/>
          <w:sz w:val="20"/>
          <w:szCs w:val="20"/>
        </w:rPr>
      </w:pPr>
      <w:r>
        <w:rPr>
          <w:b/>
          <w:bCs/>
          <w:i/>
          <w:iCs/>
          <w:color w:val="000000"/>
          <w:sz w:val="20"/>
          <w:szCs w:val="20"/>
        </w:rPr>
        <w:t>SB Alert! - Stony Brook University's emergency notification structure</w:t>
      </w:r>
      <w:r>
        <w:rPr>
          <w:i/>
          <w:iCs/>
          <w:color w:val="000000"/>
          <w:sz w:val="20"/>
          <w:szCs w:val="20"/>
        </w:rPr>
        <w:t>:</w:t>
      </w:r>
      <w:r>
        <w:rPr>
          <w:color w:val="000000"/>
          <w:sz w:val="20"/>
          <w:szCs w:val="20"/>
        </w:rPr>
        <w:t xml:space="preserve"> SB Alert is a comprehensive notification structure used to alert the campus community in the event of a major emergency and to provide important safety and security information.</w:t>
      </w:r>
    </w:p>
    <w:p w14:paraId="24EFE0DF" w14:textId="77777777" w:rsidR="00D81755" w:rsidRDefault="00D81755">
      <w:pPr>
        <w:pBdr>
          <w:top w:val="nil"/>
          <w:left w:val="nil"/>
          <w:bottom w:val="nil"/>
          <w:right w:val="nil"/>
          <w:between w:val="nil"/>
        </w:pBdr>
        <w:jc w:val="both"/>
        <w:rPr>
          <w:b/>
          <w:bCs/>
          <w:color w:val="000000"/>
          <w:sz w:val="20"/>
          <w:szCs w:val="20"/>
        </w:rPr>
      </w:pPr>
    </w:p>
    <w:p w14:paraId="24EFE0E0" w14:textId="77777777" w:rsidR="00D81755" w:rsidRDefault="0073296A">
      <w:pPr>
        <w:pBdr>
          <w:top w:val="nil"/>
          <w:left w:val="nil"/>
          <w:bottom w:val="nil"/>
          <w:right w:val="nil"/>
          <w:between w:val="nil"/>
        </w:pBdr>
        <w:jc w:val="both"/>
        <w:rPr>
          <w:i/>
          <w:iCs/>
          <w:color w:val="000000"/>
          <w:sz w:val="20"/>
          <w:szCs w:val="20"/>
        </w:rPr>
      </w:pPr>
      <w:r>
        <w:rPr>
          <w:b/>
          <w:bCs/>
          <w:i/>
          <w:iCs/>
          <w:color w:val="000000"/>
          <w:sz w:val="20"/>
          <w:szCs w:val="20"/>
        </w:rPr>
        <w:t>Voice, Email and Text Messages</w:t>
      </w:r>
      <w:r>
        <w:rPr>
          <w:i/>
          <w:iCs/>
          <w:color w:val="000000"/>
          <w:sz w:val="20"/>
          <w:szCs w:val="20"/>
        </w:rPr>
        <w:t>:</w:t>
      </w:r>
      <w:r>
        <w:rPr>
          <w:color w:val="000000"/>
          <w:sz w:val="20"/>
          <w:szCs w:val="20"/>
        </w:rPr>
        <w:t xml:space="preserve"> A mass notification system is used to provide voice, email and text messages to members of the campus community. To receive these messages, you must provide a cell phone* number and preferred email address in the SOLAR System. If you do not provide a preferred email address the system will use your campus EPO address. Simply log into SOLAR with your Stony Brook ID number and use the phone and email menu selection to enter your </w:t>
      </w:r>
      <w:proofErr w:type="gramStart"/>
      <w:r>
        <w:rPr>
          <w:color w:val="000000"/>
          <w:sz w:val="20"/>
          <w:szCs w:val="20"/>
        </w:rPr>
        <w:t>data.*</w:t>
      </w:r>
      <w:proofErr w:type="gramEnd"/>
      <w:r>
        <w:rPr>
          <w:i/>
          <w:iCs/>
          <w:color w:val="000000"/>
          <w:sz w:val="20"/>
          <w:szCs w:val="20"/>
        </w:rPr>
        <w:t>Please note that your wireless carrier may charge you a fee to receive messages on your wireless device.</w:t>
      </w:r>
    </w:p>
    <w:p w14:paraId="24EFE0E1" w14:textId="77777777" w:rsidR="00D81755" w:rsidRDefault="00D81755">
      <w:pPr>
        <w:pBdr>
          <w:top w:val="nil"/>
          <w:left w:val="nil"/>
          <w:bottom w:val="nil"/>
          <w:right w:val="nil"/>
          <w:between w:val="nil"/>
        </w:pBdr>
        <w:jc w:val="both"/>
        <w:rPr>
          <w:b/>
          <w:bCs/>
          <w:color w:val="000000"/>
          <w:sz w:val="20"/>
          <w:szCs w:val="20"/>
        </w:rPr>
      </w:pPr>
    </w:p>
    <w:p w14:paraId="24EFE0E2" w14:textId="77777777" w:rsidR="00D81755" w:rsidRDefault="0073296A">
      <w:pPr>
        <w:jc w:val="both"/>
        <w:rPr>
          <w:sz w:val="20"/>
          <w:szCs w:val="20"/>
        </w:rPr>
      </w:pPr>
      <w:r>
        <w:rPr>
          <w:sz w:val="20"/>
          <w:szCs w:val="20"/>
        </w:rPr>
        <w:t>Report all emergencies (police, fire, medical, psychiatric, or other) to University Police:</w:t>
      </w:r>
    </w:p>
    <w:p w14:paraId="24EFE0E3" w14:textId="77777777" w:rsidR="00D81755" w:rsidRDefault="0073296A">
      <w:pPr>
        <w:rPr>
          <w:sz w:val="20"/>
          <w:szCs w:val="20"/>
        </w:rPr>
      </w:pPr>
      <w:r>
        <w:rPr>
          <w:sz w:val="20"/>
          <w:szCs w:val="20"/>
        </w:rPr>
        <w:t xml:space="preserve">Dial </w:t>
      </w:r>
      <w:r>
        <w:rPr>
          <w:b/>
          <w:bCs/>
          <w:sz w:val="20"/>
          <w:szCs w:val="20"/>
        </w:rPr>
        <w:t xml:space="preserve">911 </w:t>
      </w:r>
      <w:r>
        <w:rPr>
          <w:sz w:val="20"/>
          <w:szCs w:val="20"/>
        </w:rPr>
        <w:t xml:space="preserve">or </w:t>
      </w:r>
      <w:r>
        <w:rPr>
          <w:b/>
          <w:bCs/>
          <w:sz w:val="20"/>
          <w:szCs w:val="20"/>
        </w:rPr>
        <w:t xml:space="preserve">3333 </w:t>
      </w:r>
      <w:r>
        <w:rPr>
          <w:sz w:val="20"/>
          <w:szCs w:val="20"/>
        </w:rPr>
        <w:t>from a campus phone</w:t>
      </w:r>
      <w:r>
        <w:rPr>
          <w:b/>
          <w:bCs/>
          <w:sz w:val="20"/>
          <w:szCs w:val="20"/>
        </w:rPr>
        <w:t xml:space="preserve"> </w:t>
      </w:r>
      <w:r>
        <w:rPr>
          <w:sz w:val="20"/>
          <w:szCs w:val="20"/>
        </w:rPr>
        <w:br/>
        <w:t xml:space="preserve">From a non-campus phone dial: </w:t>
      </w:r>
      <w:r>
        <w:rPr>
          <w:b/>
          <w:bCs/>
          <w:sz w:val="20"/>
          <w:szCs w:val="20"/>
        </w:rPr>
        <w:t>(631) 632-3333</w:t>
      </w:r>
      <w:r>
        <w:rPr>
          <w:sz w:val="20"/>
          <w:szCs w:val="20"/>
        </w:rPr>
        <w:t xml:space="preserve"> </w:t>
      </w:r>
    </w:p>
    <w:p w14:paraId="24EFE0E4" w14:textId="77777777" w:rsidR="00D81755" w:rsidRDefault="00D81755">
      <w:pPr>
        <w:rPr>
          <w:sz w:val="20"/>
          <w:szCs w:val="20"/>
        </w:rPr>
      </w:pPr>
    </w:p>
    <w:p w14:paraId="24EFE0E5" w14:textId="77777777" w:rsidR="00D81755" w:rsidRDefault="0073296A">
      <w:pPr>
        <w:rPr>
          <w:sz w:val="20"/>
          <w:szCs w:val="20"/>
        </w:rPr>
      </w:pPr>
      <w:r>
        <w:rPr>
          <w:sz w:val="20"/>
          <w:szCs w:val="20"/>
        </w:rPr>
        <w:t xml:space="preserve">Dial </w:t>
      </w:r>
      <w:r>
        <w:rPr>
          <w:b/>
          <w:bCs/>
          <w:sz w:val="20"/>
          <w:szCs w:val="20"/>
        </w:rPr>
        <w:t>321</w:t>
      </w:r>
      <w:r>
        <w:rPr>
          <w:sz w:val="20"/>
          <w:szCs w:val="20"/>
        </w:rPr>
        <w:t xml:space="preserve"> to report a fire (Code Red) in the Hospital </w:t>
      </w:r>
    </w:p>
    <w:p w14:paraId="24EFE0E6" w14:textId="77777777" w:rsidR="00D81755" w:rsidRDefault="0073296A">
      <w:pPr>
        <w:pBdr>
          <w:top w:val="nil"/>
          <w:left w:val="nil"/>
          <w:bottom w:val="nil"/>
          <w:right w:val="nil"/>
          <w:between w:val="nil"/>
        </w:pBdr>
        <w:rPr>
          <w:b/>
          <w:bCs/>
          <w:color w:val="000000"/>
          <w:sz w:val="20"/>
          <w:szCs w:val="20"/>
        </w:rPr>
      </w:pPr>
      <w:r>
        <w:rPr>
          <w:b/>
          <w:bCs/>
          <w:color w:val="000000"/>
          <w:sz w:val="20"/>
          <w:szCs w:val="20"/>
        </w:rPr>
        <w:t>Non-Emergency Phone Numbers</w:t>
      </w:r>
    </w:p>
    <w:p w14:paraId="24EFE0E7" w14:textId="77777777" w:rsidR="00D81755" w:rsidRDefault="0073296A">
      <w:pPr>
        <w:pBdr>
          <w:top w:val="nil"/>
          <w:left w:val="nil"/>
          <w:bottom w:val="nil"/>
          <w:right w:val="nil"/>
          <w:between w:val="nil"/>
        </w:pBdr>
        <w:rPr>
          <w:color w:val="000000"/>
          <w:sz w:val="20"/>
          <w:szCs w:val="20"/>
        </w:rPr>
      </w:pPr>
      <w:r>
        <w:rPr>
          <w:color w:val="000000"/>
          <w:sz w:val="20"/>
          <w:szCs w:val="20"/>
        </w:rPr>
        <w:t xml:space="preserve">(During regular office hours only) </w:t>
      </w:r>
    </w:p>
    <w:p w14:paraId="24EFE0E8" w14:textId="77777777" w:rsidR="00D81755" w:rsidRDefault="00D81755">
      <w:pPr>
        <w:pBdr>
          <w:top w:val="nil"/>
          <w:left w:val="nil"/>
          <w:bottom w:val="nil"/>
          <w:right w:val="nil"/>
          <w:between w:val="nil"/>
        </w:pBdr>
        <w:rPr>
          <w:color w:val="000000"/>
          <w:sz w:val="20"/>
          <w:szCs w:val="20"/>
        </w:rPr>
      </w:pPr>
    </w:p>
    <w:p w14:paraId="24EFE0E9" w14:textId="77777777" w:rsidR="00D81755" w:rsidRDefault="0073296A">
      <w:pPr>
        <w:pBdr>
          <w:top w:val="nil"/>
          <w:left w:val="nil"/>
          <w:bottom w:val="nil"/>
          <w:right w:val="nil"/>
          <w:between w:val="nil"/>
        </w:pBdr>
        <w:rPr>
          <w:color w:val="000000"/>
          <w:sz w:val="20"/>
          <w:szCs w:val="20"/>
        </w:rPr>
      </w:pPr>
      <w:r>
        <w:rPr>
          <w:color w:val="000000"/>
          <w:sz w:val="20"/>
          <w:szCs w:val="20"/>
        </w:rPr>
        <w:t xml:space="preserve">Environmental Health &amp; Safety: </w:t>
      </w:r>
      <w:r>
        <w:rPr>
          <w:b/>
          <w:bCs/>
          <w:color w:val="000000"/>
          <w:sz w:val="20"/>
          <w:szCs w:val="20"/>
        </w:rPr>
        <w:t>632-6410</w:t>
      </w:r>
      <w:r>
        <w:rPr>
          <w:color w:val="000000"/>
          <w:sz w:val="20"/>
          <w:szCs w:val="20"/>
        </w:rPr>
        <w:br/>
      </w:r>
    </w:p>
    <w:p w14:paraId="24EFE0EA" w14:textId="77777777" w:rsidR="00D81755" w:rsidRDefault="0073296A">
      <w:pPr>
        <w:pBdr>
          <w:top w:val="nil"/>
          <w:left w:val="nil"/>
          <w:bottom w:val="nil"/>
          <w:right w:val="nil"/>
          <w:between w:val="nil"/>
        </w:pBdr>
        <w:rPr>
          <w:color w:val="000000"/>
          <w:sz w:val="20"/>
          <w:szCs w:val="20"/>
        </w:rPr>
      </w:pPr>
      <w:r>
        <w:rPr>
          <w:color w:val="000000"/>
          <w:sz w:val="20"/>
          <w:szCs w:val="20"/>
        </w:rPr>
        <w:t xml:space="preserve">University Police: </w:t>
      </w:r>
      <w:r>
        <w:rPr>
          <w:b/>
          <w:bCs/>
          <w:color w:val="000000"/>
          <w:sz w:val="20"/>
          <w:szCs w:val="20"/>
        </w:rPr>
        <w:t>632-6350</w:t>
      </w:r>
      <w:r>
        <w:rPr>
          <w:color w:val="000000"/>
          <w:sz w:val="20"/>
          <w:szCs w:val="20"/>
        </w:rPr>
        <w:br/>
      </w:r>
    </w:p>
    <w:p w14:paraId="24EFE0EB" w14:textId="77777777" w:rsidR="00D81755" w:rsidRDefault="0073296A">
      <w:pPr>
        <w:pBdr>
          <w:top w:val="nil"/>
          <w:left w:val="nil"/>
          <w:bottom w:val="nil"/>
          <w:right w:val="nil"/>
          <w:between w:val="nil"/>
        </w:pBdr>
        <w:rPr>
          <w:color w:val="000000"/>
          <w:sz w:val="20"/>
          <w:szCs w:val="20"/>
        </w:rPr>
      </w:pPr>
      <w:r>
        <w:rPr>
          <w:color w:val="000000"/>
          <w:sz w:val="20"/>
          <w:szCs w:val="20"/>
        </w:rPr>
        <w:t xml:space="preserve">Weather-related Information/Closings: </w:t>
      </w:r>
      <w:r>
        <w:rPr>
          <w:color w:val="000000"/>
          <w:sz w:val="20"/>
          <w:szCs w:val="20"/>
        </w:rPr>
        <w:br/>
      </w:r>
      <w:r>
        <w:rPr>
          <w:b/>
          <w:bCs/>
          <w:color w:val="000000"/>
          <w:sz w:val="20"/>
          <w:szCs w:val="20"/>
        </w:rPr>
        <w:t>632-SNOW: 444-SNOW</w:t>
      </w:r>
    </w:p>
    <w:p w14:paraId="24EFE0EC" w14:textId="77777777" w:rsidR="00D81755" w:rsidRDefault="00D81755">
      <w:pPr>
        <w:pBdr>
          <w:top w:val="nil"/>
          <w:left w:val="nil"/>
          <w:bottom w:val="nil"/>
          <w:right w:val="nil"/>
          <w:between w:val="nil"/>
        </w:pBdr>
        <w:rPr>
          <w:color w:val="000000"/>
          <w:sz w:val="20"/>
          <w:szCs w:val="20"/>
        </w:rPr>
      </w:pPr>
    </w:p>
    <w:p w14:paraId="24EFE0ED" w14:textId="77777777" w:rsidR="00D81755" w:rsidRDefault="0073296A">
      <w:pPr>
        <w:pBdr>
          <w:top w:val="nil"/>
          <w:left w:val="nil"/>
          <w:bottom w:val="nil"/>
          <w:right w:val="nil"/>
          <w:between w:val="nil"/>
        </w:pBdr>
        <w:rPr>
          <w:color w:val="000000"/>
          <w:sz w:val="20"/>
          <w:szCs w:val="20"/>
        </w:rPr>
      </w:pPr>
      <w:r>
        <w:rPr>
          <w:color w:val="000000"/>
          <w:sz w:val="20"/>
          <w:szCs w:val="20"/>
        </w:rPr>
        <w:t xml:space="preserve">For an escorted walk: </w:t>
      </w:r>
      <w:r>
        <w:rPr>
          <w:color w:val="000000"/>
          <w:sz w:val="20"/>
          <w:szCs w:val="20"/>
        </w:rPr>
        <w:br/>
        <w:t>Dial</w:t>
      </w:r>
      <w:r>
        <w:rPr>
          <w:b/>
          <w:bCs/>
          <w:color w:val="000000"/>
          <w:sz w:val="20"/>
          <w:szCs w:val="20"/>
        </w:rPr>
        <w:t xml:space="preserve"> 2-WALK (2-9255)</w:t>
      </w:r>
      <w:r>
        <w:rPr>
          <w:color w:val="000000"/>
          <w:sz w:val="20"/>
          <w:szCs w:val="20"/>
        </w:rPr>
        <w:t xml:space="preserve"> from a campus phone.</w:t>
      </w:r>
      <w:r>
        <w:rPr>
          <w:color w:val="000000"/>
          <w:sz w:val="20"/>
          <w:szCs w:val="20"/>
        </w:rPr>
        <w:br/>
      </w:r>
    </w:p>
    <w:p w14:paraId="24EFE0EE" w14:textId="77777777" w:rsidR="00D81755" w:rsidRDefault="0073296A">
      <w:pPr>
        <w:pBdr>
          <w:top w:val="nil"/>
          <w:left w:val="nil"/>
          <w:bottom w:val="nil"/>
          <w:right w:val="nil"/>
          <w:between w:val="nil"/>
        </w:pBdr>
        <w:rPr>
          <w:color w:val="000000"/>
          <w:sz w:val="20"/>
          <w:szCs w:val="20"/>
        </w:rPr>
      </w:pPr>
      <w:r>
        <w:rPr>
          <w:color w:val="000000"/>
          <w:sz w:val="20"/>
          <w:szCs w:val="20"/>
        </w:rPr>
        <w:t xml:space="preserve">Dial </w:t>
      </w:r>
      <w:r>
        <w:rPr>
          <w:b/>
          <w:bCs/>
          <w:color w:val="000000"/>
          <w:sz w:val="20"/>
          <w:szCs w:val="20"/>
        </w:rPr>
        <w:t>631-632-WALK</w:t>
      </w:r>
      <w:r>
        <w:rPr>
          <w:color w:val="000000"/>
          <w:sz w:val="20"/>
          <w:szCs w:val="20"/>
        </w:rPr>
        <w:t xml:space="preserve"> from a non-campus phone.</w:t>
      </w:r>
    </w:p>
    <w:p w14:paraId="24EFE0EF" w14:textId="77777777" w:rsidR="00D81755" w:rsidRDefault="00D81755">
      <w:pPr>
        <w:pBdr>
          <w:top w:val="nil"/>
          <w:left w:val="nil"/>
          <w:bottom w:val="nil"/>
          <w:right w:val="nil"/>
          <w:between w:val="nil"/>
        </w:pBdr>
        <w:rPr>
          <w:color w:val="000000"/>
          <w:sz w:val="20"/>
          <w:szCs w:val="20"/>
        </w:rPr>
      </w:pPr>
    </w:p>
    <w:p w14:paraId="24EFE0F0" w14:textId="77777777" w:rsidR="00D81755" w:rsidRDefault="0073296A">
      <w:pPr>
        <w:pBdr>
          <w:top w:val="nil"/>
          <w:left w:val="nil"/>
          <w:bottom w:val="nil"/>
          <w:right w:val="nil"/>
          <w:between w:val="nil"/>
        </w:pBdr>
        <w:rPr>
          <w:color w:val="000000"/>
          <w:sz w:val="22"/>
          <w:szCs w:val="22"/>
        </w:rPr>
      </w:pPr>
      <w:r>
        <w:rPr>
          <w:color w:val="000000"/>
          <w:sz w:val="20"/>
          <w:szCs w:val="20"/>
        </w:rPr>
        <w:t xml:space="preserve">For a ride after dark: Call </w:t>
      </w:r>
      <w:r>
        <w:rPr>
          <w:b/>
          <w:bCs/>
          <w:color w:val="000000"/>
          <w:sz w:val="20"/>
          <w:szCs w:val="20"/>
        </w:rPr>
        <w:t>632-RIDE (2-7433)</w:t>
      </w:r>
    </w:p>
    <w:p w14:paraId="24EFE0F1" w14:textId="77777777" w:rsidR="00D81755" w:rsidRDefault="0073296A">
      <w:pPr>
        <w:rPr>
          <w:b/>
          <w:bCs/>
        </w:rPr>
      </w:pPr>
      <w:r>
        <w:br w:type="page"/>
      </w:r>
    </w:p>
    <w:p w14:paraId="24EFE0F2" w14:textId="77777777" w:rsidR="00D81755" w:rsidRDefault="0073296A">
      <w:pPr>
        <w:pStyle w:val="Heading2"/>
      </w:pPr>
      <w:bookmarkStart w:id="112" w:name="_heading=h.69vurg41zei" w:colFirst="0" w:colLast="0"/>
      <w:bookmarkEnd w:id="112"/>
      <w:r>
        <w:lastRenderedPageBreak/>
        <w:t>STUDENT HEALTH POLICIES &amp; RESOURCES</w:t>
      </w:r>
    </w:p>
    <w:p w14:paraId="24EFE0F3" w14:textId="77777777" w:rsidR="00D81755" w:rsidRDefault="0073296A">
      <w:pPr>
        <w:shd w:val="clear" w:color="auto" w:fill="FFFFFF"/>
        <w:jc w:val="both"/>
        <w:rPr>
          <w:sz w:val="20"/>
          <w:szCs w:val="20"/>
        </w:rPr>
      </w:pPr>
      <w:r>
        <w:rPr>
          <w:sz w:val="20"/>
          <w:szCs w:val="20"/>
        </w:rPr>
        <w:t xml:space="preserve">The Student Health Service is the on-campus source for meeting students’ primary healthcare needs. The staff includes physicians, physician assistants, nurse practitioners, nurses, social workers, health educators, laboratory technologists, and technical and administrative staff dedicated to providing students with quality medical care and the services necessary to optimize health and wellness.  We encourage you to explore their website and learn about the resources available to you. </w:t>
      </w:r>
    </w:p>
    <w:p w14:paraId="24EFE0F4" w14:textId="77777777" w:rsidR="00D81755" w:rsidRDefault="00D81755">
      <w:pPr>
        <w:jc w:val="both"/>
        <w:rPr>
          <w:sz w:val="20"/>
          <w:szCs w:val="20"/>
        </w:rPr>
      </w:pPr>
    </w:p>
    <w:p w14:paraId="24EFE0F5" w14:textId="77777777" w:rsidR="00D81755" w:rsidRDefault="0073296A">
      <w:pPr>
        <w:jc w:val="both"/>
        <w:rPr>
          <w:sz w:val="20"/>
          <w:szCs w:val="20"/>
        </w:rPr>
      </w:pPr>
      <w:r>
        <w:rPr>
          <w:sz w:val="20"/>
          <w:szCs w:val="20"/>
        </w:rPr>
        <w:t xml:space="preserve">The student health policies of the University ensure that all students meet the physical examination and health history requirements of the University and that students working in clinical settings meet the requirements of </w:t>
      </w:r>
      <w:proofErr w:type="gramStart"/>
      <w:r>
        <w:rPr>
          <w:sz w:val="20"/>
          <w:szCs w:val="20"/>
        </w:rPr>
        <w:t>University</w:t>
      </w:r>
      <w:proofErr w:type="gramEnd"/>
      <w:r>
        <w:rPr>
          <w:sz w:val="20"/>
          <w:szCs w:val="20"/>
        </w:rPr>
        <w:t xml:space="preserve"> healthcare facilities and clinical affiliates, as well as the state health code.  These policies also comply with Public Health Law 2165, which requires all students in post-secondary education to be immunized against poliomyelitis, mumps, measles, diphtheria, and rubella. </w:t>
      </w:r>
    </w:p>
    <w:p w14:paraId="24EFE0F6" w14:textId="77777777" w:rsidR="00D81755" w:rsidRDefault="00D81755">
      <w:pPr>
        <w:rPr>
          <w:sz w:val="20"/>
          <w:szCs w:val="20"/>
        </w:rPr>
      </w:pPr>
    </w:p>
    <w:p w14:paraId="24EFE0F7" w14:textId="77777777" w:rsidR="00D81755" w:rsidRDefault="0073296A">
      <w:pPr>
        <w:rPr>
          <w:sz w:val="20"/>
          <w:szCs w:val="20"/>
        </w:rPr>
      </w:pPr>
      <w:r>
        <w:rPr>
          <w:sz w:val="20"/>
          <w:szCs w:val="20"/>
        </w:rPr>
        <w:t xml:space="preserve">Information about the University’s Student Health Service and health policies is provided, with links to all forms, at the </w:t>
      </w:r>
    </w:p>
    <w:p w14:paraId="24EFE0F8" w14:textId="77777777" w:rsidR="00D81755" w:rsidRDefault="0073296A">
      <w:pPr>
        <w:rPr>
          <w:sz w:val="20"/>
          <w:szCs w:val="20"/>
        </w:rPr>
      </w:pPr>
      <w:r>
        <w:rPr>
          <w:sz w:val="20"/>
          <w:szCs w:val="20"/>
        </w:rPr>
        <w:t>Student Health Services website: http://studentaffairs.stonybrook.edu/shs/index.shtml</w:t>
      </w:r>
    </w:p>
    <w:p w14:paraId="24EFE0F9" w14:textId="77777777" w:rsidR="00D81755" w:rsidRDefault="00D81755">
      <w:pPr>
        <w:jc w:val="both"/>
        <w:rPr>
          <w:sz w:val="20"/>
          <w:szCs w:val="20"/>
          <w:u w:val="single"/>
        </w:rPr>
      </w:pPr>
    </w:p>
    <w:p w14:paraId="24EFE0FA" w14:textId="77777777" w:rsidR="00D81755" w:rsidRDefault="0073296A">
      <w:pPr>
        <w:rPr>
          <w:b/>
          <w:bCs/>
          <w:sz w:val="20"/>
          <w:szCs w:val="20"/>
        </w:rPr>
      </w:pPr>
      <w:r>
        <w:rPr>
          <w:b/>
          <w:bCs/>
          <w:sz w:val="20"/>
          <w:szCs w:val="20"/>
        </w:rPr>
        <w:t>Medical and Health Insurance Requirements</w:t>
      </w:r>
    </w:p>
    <w:p w14:paraId="24EFE0FB" w14:textId="77777777" w:rsidR="00D81755" w:rsidRDefault="0073296A">
      <w:pPr>
        <w:pBdr>
          <w:top w:val="nil"/>
          <w:left w:val="nil"/>
          <w:bottom w:val="nil"/>
          <w:right w:val="nil"/>
          <w:between w:val="nil"/>
        </w:pBdr>
        <w:shd w:val="clear" w:color="auto" w:fill="FFFFFF"/>
        <w:jc w:val="both"/>
        <w:rPr>
          <w:color w:val="000000"/>
          <w:sz w:val="20"/>
          <w:szCs w:val="20"/>
        </w:rPr>
      </w:pPr>
      <w:r>
        <w:rPr>
          <w:color w:val="000000"/>
          <w:sz w:val="20"/>
          <w:szCs w:val="20"/>
        </w:rPr>
        <w:t>The requirements for full and part-time students are different and are explained in detail at:</w:t>
      </w:r>
    </w:p>
    <w:p w14:paraId="24EFE0FC" w14:textId="77777777" w:rsidR="00D81755" w:rsidRDefault="0073296A">
      <w:pPr>
        <w:pBdr>
          <w:top w:val="nil"/>
          <w:left w:val="nil"/>
          <w:bottom w:val="nil"/>
          <w:right w:val="nil"/>
          <w:between w:val="nil"/>
        </w:pBdr>
        <w:shd w:val="clear" w:color="auto" w:fill="FFFFFF"/>
        <w:jc w:val="both"/>
        <w:rPr>
          <w:color w:val="000000"/>
          <w:sz w:val="20"/>
          <w:szCs w:val="20"/>
        </w:rPr>
      </w:pPr>
      <w:hyperlink r:id="rId58">
        <w:r>
          <w:rPr>
            <w:color w:val="000000"/>
            <w:sz w:val="20"/>
            <w:szCs w:val="20"/>
          </w:rPr>
          <w:t>http://www.stonybrook.edu/sb/newstudents/nshealthrequirements.shtml</w:t>
        </w:r>
      </w:hyperlink>
    </w:p>
    <w:p w14:paraId="24EFE0FD" w14:textId="77777777" w:rsidR="00D81755" w:rsidRDefault="0073296A">
      <w:pPr>
        <w:pBdr>
          <w:top w:val="nil"/>
          <w:left w:val="nil"/>
          <w:bottom w:val="nil"/>
          <w:right w:val="nil"/>
          <w:between w:val="nil"/>
        </w:pBdr>
        <w:shd w:val="clear" w:color="auto" w:fill="FFFFFF"/>
        <w:jc w:val="both"/>
        <w:rPr>
          <w:color w:val="000000"/>
          <w:sz w:val="20"/>
          <w:szCs w:val="20"/>
        </w:rPr>
      </w:pPr>
      <w:r>
        <w:rPr>
          <w:color w:val="000000"/>
          <w:sz w:val="20"/>
          <w:szCs w:val="20"/>
        </w:rPr>
        <w:t>In addition, all forms are available online at this address.</w:t>
      </w:r>
    </w:p>
    <w:p w14:paraId="24EFE0FE" w14:textId="77777777" w:rsidR="00D81755" w:rsidRDefault="00D81755">
      <w:pPr>
        <w:pBdr>
          <w:top w:val="nil"/>
          <w:left w:val="nil"/>
          <w:bottom w:val="nil"/>
          <w:right w:val="nil"/>
          <w:between w:val="nil"/>
        </w:pBdr>
        <w:shd w:val="clear" w:color="auto" w:fill="FFFFFF"/>
        <w:jc w:val="both"/>
        <w:rPr>
          <w:b/>
          <w:bCs/>
          <w:i/>
          <w:iCs/>
          <w:color w:val="000000"/>
          <w:sz w:val="20"/>
          <w:szCs w:val="20"/>
        </w:rPr>
      </w:pPr>
    </w:p>
    <w:p w14:paraId="24EFE0FF" w14:textId="77777777" w:rsidR="00D81755" w:rsidRDefault="0073296A">
      <w:pPr>
        <w:pBdr>
          <w:top w:val="nil"/>
          <w:left w:val="nil"/>
          <w:bottom w:val="nil"/>
          <w:right w:val="nil"/>
          <w:between w:val="nil"/>
        </w:pBdr>
        <w:shd w:val="clear" w:color="auto" w:fill="FFFFFF"/>
        <w:jc w:val="both"/>
        <w:rPr>
          <w:b/>
          <w:bCs/>
          <w:i/>
          <w:iCs/>
          <w:color w:val="000000"/>
          <w:sz w:val="20"/>
          <w:szCs w:val="20"/>
        </w:rPr>
      </w:pPr>
      <w:r>
        <w:rPr>
          <w:b/>
          <w:bCs/>
          <w:i/>
          <w:iCs/>
          <w:color w:val="000000"/>
          <w:sz w:val="20"/>
          <w:szCs w:val="20"/>
        </w:rPr>
        <w:t>Full-Time Students</w:t>
      </w:r>
    </w:p>
    <w:p w14:paraId="24EFE100" w14:textId="77777777" w:rsidR="00D81755" w:rsidRDefault="0073296A">
      <w:pPr>
        <w:pBdr>
          <w:top w:val="nil"/>
          <w:left w:val="nil"/>
          <w:bottom w:val="nil"/>
          <w:right w:val="nil"/>
          <w:between w:val="nil"/>
        </w:pBdr>
        <w:shd w:val="clear" w:color="auto" w:fill="FFFFFF"/>
        <w:jc w:val="both"/>
        <w:rPr>
          <w:color w:val="000000"/>
          <w:sz w:val="20"/>
          <w:szCs w:val="20"/>
        </w:rPr>
      </w:pPr>
      <w:r>
        <w:rPr>
          <w:color w:val="000000"/>
          <w:sz w:val="20"/>
          <w:szCs w:val="20"/>
        </w:rPr>
        <w:t>Following are the requirements for full-time students:</w:t>
      </w:r>
    </w:p>
    <w:p w14:paraId="24EFE101" w14:textId="77777777" w:rsidR="00D81755" w:rsidRDefault="0073296A">
      <w:pPr>
        <w:numPr>
          <w:ilvl w:val="0"/>
          <w:numId w:val="25"/>
        </w:numPr>
        <w:shd w:val="clear" w:color="auto" w:fill="FFFFFF"/>
        <w:jc w:val="both"/>
        <w:rPr>
          <w:sz w:val="20"/>
          <w:szCs w:val="20"/>
        </w:rPr>
      </w:pPr>
      <w:r>
        <w:rPr>
          <w:sz w:val="20"/>
          <w:szCs w:val="20"/>
        </w:rPr>
        <w:t xml:space="preserve">A completed </w:t>
      </w:r>
      <w:hyperlink r:id="rId59">
        <w:r>
          <w:rPr>
            <w:color w:val="000000"/>
            <w:sz w:val="20"/>
            <w:szCs w:val="20"/>
          </w:rPr>
          <w:t>Health Form</w:t>
        </w:r>
      </w:hyperlink>
      <w:r>
        <w:rPr>
          <w:sz w:val="20"/>
          <w:szCs w:val="20"/>
        </w:rPr>
        <w:t xml:space="preserve"> signed and completed by their physician. </w:t>
      </w:r>
    </w:p>
    <w:p w14:paraId="24EFE102" w14:textId="77777777" w:rsidR="00D81755" w:rsidRDefault="0073296A">
      <w:pPr>
        <w:numPr>
          <w:ilvl w:val="0"/>
          <w:numId w:val="25"/>
        </w:numPr>
        <w:shd w:val="clear" w:color="auto" w:fill="FFFFFF"/>
        <w:jc w:val="both"/>
        <w:rPr>
          <w:sz w:val="20"/>
          <w:szCs w:val="20"/>
        </w:rPr>
      </w:pPr>
      <w:hyperlink r:id="rId60">
        <w:r>
          <w:rPr>
            <w:color w:val="000000"/>
            <w:sz w:val="20"/>
            <w:szCs w:val="20"/>
          </w:rPr>
          <w:t>Documentation of Immunizations</w:t>
        </w:r>
      </w:hyperlink>
      <w:r>
        <w:rPr>
          <w:sz w:val="20"/>
          <w:szCs w:val="20"/>
        </w:rPr>
        <w:t xml:space="preserve"> on the health form as per New York State law.</w:t>
      </w:r>
    </w:p>
    <w:p w14:paraId="24EFE103" w14:textId="77777777" w:rsidR="00D81755" w:rsidRDefault="0073296A">
      <w:pPr>
        <w:numPr>
          <w:ilvl w:val="0"/>
          <w:numId w:val="25"/>
        </w:numPr>
        <w:shd w:val="clear" w:color="auto" w:fill="FFFFFF"/>
        <w:jc w:val="both"/>
        <w:rPr>
          <w:sz w:val="20"/>
          <w:szCs w:val="20"/>
        </w:rPr>
      </w:pPr>
      <w:r>
        <w:rPr>
          <w:sz w:val="20"/>
          <w:szCs w:val="20"/>
        </w:rPr>
        <w:t xml:space="preserve">All full-time students must read the medical information about meningococcal meningitis at the Student Health Services website, and complete and return the </w:t>
      </w:r>
      <w:hyperlink r:id="rId61">
        <w:r>
          <w:rPr>
            <w:color w:val="000000"/>
            <w:sz w:val="20"/>
            <w:szCs w:val="20"/>
          </w:rPr>
          <w:t>Meningitis Information Response Form</w:t>
        </w:r>
      </w:hyperlink>
      <w:r>
        <w:rPr>
          <w:sz w:val="20"/>
          <w:szCs w:val="20"/>
        </w:rPr>
        <w:t xml:space="preserve">. The information and form can be </w:t>
      </w:r>
      <w:hyperlink r:id="rId62">
        <w:r>
          <w:rPr>
            <w:color w:val="000000"/>
            <w:sz w:val="20"/>
            <w:szCs w:val="20"/>
          </w:rPr>
          <w:t>downloaded.</w:t>
        </w:r>
      </w:hyperlink>
      <w:r>
        <w:rPr>
          <w:sz w:val="20"/>
          <w:szCs w:val="20"/>
        </w:rPr>
        <w:t xml:space="preserve"> Those who have a SOLAR account and are 18 years of age or older may use </w:t>
      </w:r>
      <w:hyperlink r:id="rId63">
        <w:r>
          <w:rPr>
            <w:color w:val="000000"/>
            <w:sz w:val="20"/>
            <w:szCs w:val="20"/>
          </w:rPr>
          <w:t>SOLAR</w:t>
        </w:r>
      </w:hyperlink>
      <w:r>
        <w:rPr>
          <w:sz w:val="20"/>
          <w:szCs w:val="20"/>
        </w:rPr>
        <w:t xml:space="preserve"> to submit the response form. </w:t>
      </w:r>
    </w:p>
    <w:p w14:paraId="24EFE104" w14:textId="77777777" w:rsidR="00D81755" w:rsidRDefault="0073296A">
      <w:pPr>
        <w:numPr>
          <w:ilvl w:val="0"/>
          <w:numId w:val="25"/>
        </w:numPr>
        <w:shd w:val="clear" w:color="auto" w:fill="FFFFFF"/>
        <w:jc w:val="both"/>
        <w:rPr>
          <w:sz w:val="20"/>
          <w:szCs w:val="20"/>
        </w:rPr>
      </w:pPr>
      <w:r>
        <w:rPr>
          <w:i/>
          <w:iCs/>
          <w:sz w:val="20"/>
          <w:szCs w:val="20"/>
        </w:rPr>
        <w:t xml:space="preserve">All full-time matriculated students must </w:t>
      </w:r>
      <w:proofErr w:type="gramStart"/>
      <w:r>
        <w:rPr>
          <w:i/>
          <w:iCs/>
          <w:sz w:val="20"/>
          <w:szCs w:val="20"/>
        </w:rPr>
        <w:t>have health insurance coverage at all times</w:t>
      </w:r>
      <w:proofErr w:type="gramEnd"/>
      <w:r>
        <w:rPr>
          <w:i/>
          <w:iCs/>
          <w:sz w:val="20"/>
          <w:szCs w:val="20"/>
        </w:rPr>
        <w:t xml:space="preserve"> without exception</w:t>
      </w:r>
      <w:r>
        <w:rPr>
          <w:b/>
          <w:bCs/>
          <w:i/>
          <w:iCs/>
          <w:sz w:val="20"/>
          <w:szCs w:val="20"/>
        </w:rPr>
        <w:t>.</w:t>
      </w:r>
      <w:r>
        <w:rPr>
          <w:sz w:val="20"/>
          <w:szCs w:val="20"/>
        </w:rPr>
        <w:t xml:space="preserve"> Stony Brook offers a health insurance plan for all </w:t>
      </w:r>
      <w:proofErr w:type="gramStart"/>
      <w:r>
        <w:rPr>
          <w:sz w:val="20"/>
          <w:szCs w:val="20"/>
        </w:rPr>
        <w:t>full time</w:t>
      </w:r>
      <w:proofErr w:type="gramEnd"/>
      <w:r>
        <w:rPr>
          <w:sz w:val="20"/>
          <w:szCs w:val="20"/>
        </w:rPr>
        <w:t xml:space="preserve"> domestic* students that meets this requirement. This plan pays for most medically necessary bills, such as doctor visits, mental health counseling, prescriptions, emergency room, lab testing, diagnostic testing, surgery, hospitalization, etc. The plan covers our students anywhere in the world, every day</w:t>
      </w:r>
      <w:proofErr w:type="gramStart"/>
      <w:r>
        <w:rPr>
          <w:sz w:val="20"/>
          <w:szCs w:val="20"/>
        </w:rPr>
        <w:t>, no matter</w:t>
      </w:r>
      <w:proofErr w:type="gramEnd"/>
      <w:r>
        <w:rPr>
          <w:sz w:val="20"/>
          <w:szCs w:val="20"/>
        </w:rPr>
        <w:t xml:space="preserve"> whether on campus or on semester breaks. </w:t>
      </w:r>
    </w:p>
    <w:p w14:paraId="24EFE105" w14:textId="77777777" w:rsidR="00D81755" w:rsidRDefault="00D81755">
      <w:pPr>
        <w:jc w:val="both"/>
        <w:rPr>
          <w:b/>
          <w:bCs/>
          <w:sz w:val="20"/>
          <w:szCs w:val="20"/>
          <w:u w:val="single"/>
        </w:rPr>
      </w:pPr>
    </w:p>
    <w:p w14:paraId="24EFE106" w14:textId="77777777" w:rsidR="00D81755" w:rsidRDefault="0073296A">
      <w:pPr>
        <w:jc w:val="both"/>
        <w:rPr>
          <w:b/>
          <w:bCs/>
          <w:i/>
          <w:iCs/>
          <w:sz w:val="20"/>
          <w:szCs w:val="20"/>
        </w:rPr>
      </w:pPr>
      <w:r>
        <w:rPr>
          <w:b/>
          <w:bCs/>
          <w:i/>
          <w:iCs/>
          <w:sz w:val="20"/>
          <w:szCs w:val="20"/>
        </w:rPr>
        <w:t>Part-Time Students</w:t>
      </w:r>
    </w:p>
    <w:p w14:paraId="24EFE107" w14:textId="77777777" w:rsidR="00D81755" w:rsidRDefault="0073296A">
      <w:pPr>
        <w:jc w:val="both"/>
        <w:rPr>
          <w:sz w:val="20"/>
          <w:szCs w:val="20"/>
        </w:rPr>
      </w:pPr>
      <w:r>
        <w:rPr>
          <w:sz w:val="20"/>
          <w:szCs w:val="20"/>
        </w:rPr>
        <w:t>Following are the requirements for part-time students:</w:t>
      </w:r>
    </w:p>
    <w:p w14:paraId="24EFE108" w14:textId="77777777" w:rsidR="00D81755" w:rsidRDefault="0073296A">
      <w:pPr>
        <w:numPr>
          <w:ilvl w:val="0"/>
          <w:numId w:val="25"/>
        </w:numPr>
        <w:shd w:val="clear" w:color="auto" w:fill="FFFFFF"/>
        <w:jc w:val="both"/>
        <w:rPr>
          <w:sz w:val="20"/>
          <w:szCs w:val="20"/>
        </w:rPr>
      </w:pPr>
      <w:hyperlink r:id="rId64">
        <w:r>
          <w:rPr>
            <w:color w:val="000000"/>
            <w:sz w:val="20"/>
            <w:szCs w:val="20"/>
          </w:rPr>
          <w:t>Immunization Record Form</w:t>
        </w:r>
      </w:hyperlink>
      <w:r>
        <w:rPr>
          <w:sz w:val="20"/>
          <w:szCs w:val="20"/>
        </w:rPr>
        <w:t xml:space="preserve"> signed and completed by their physician. </w:t>
      </w:r>
    </w:p>
    <w:p w14:paraId="24EFE109" w14:textId="77777777" w:rsidR="00D81755" w:rsidRDefault="0073296A">
      <w:pPr>
        <w:numPr>
          <w:ilvl w:val="0"/>
          <w:numId w:val="25"/>
        </w:numPr>
        <w:shd w:val="clear" w:color="auto" w:fill="FFFFFF"/>
        <w:jc w:val="both"/>
        <w:rPr>
          <w:sz w:val="20"/>
          <w:szCs w:val="20"/>
        </w:rPr>
      </w:pPr>
      <w:hyperlink r:id="rId65">
        <w:r>
          <w:rPr>
            <w:color w:val="000000"/>
            <w:sz w:val="20"/>
            <w:szCs w:val="20"/>
          </w:rPr>
          <w:t>Documentation of Immunizations</w:t>
        </w:r>
      </w:hyperlink>
      <w:r>
        <w:rPr>
          <w:sz w:val="20"/>
          <w:szCs w:val="20"/>
        </w:rPr>
        <w:t xml:space="preserve"> on the health form as per New York State law.</w:t>
      </w:r>
    </w:p>
    <w:p w14:paraId="24EFE10A" w14:textId="77777777" w:rsidR="00D81755" w:rsidRDefault="0073296A">
      <w:pPr>
        <w:numPr>
          <w:ilvl w:val="0"/>
          <w:numId w:val="25"/>
        </w:numPr>
        <w:shd w:val="clear" w:color="auto" w:fill="FFFFFF"/>
        <w:jc w:val="both"/>
        <w:rPr>
          <w:sz w:val="20"/>
          <w:szCs w:val="20"/>
        </w:rPr>
      </w:pPr>
      <w:r>
        <w:rPr>
          <w:sz w:val="20"/>
          <w:szCs w:val="20"/>
        </w:rPr>
        <w:t xml:space="preserve">All part-time students must read the medical information about meningococcal meningitis at the Student Health Services website, and complete and return the </w:t>
      </w:r>
      <w:hyperlink r:id="rId66">
        <w:r>
          <w:rPr>
            <w:color w:val="000000"/>
            <w:sz w:val="20"/>
            <w:szCs w:val="20"/>
          </w:rPr>
          <w:t>Meningitis Information Response Form</w:t>
        </w:r>
      </w:hyperlink>
      <w:r>
        <w:rPr>
          <w:sz w:val="20"/>
          <w:szCs w:val="20"/>
        </w:rPr>
        <w:t xml:space="preserve">. The information and form can be </w:t>
      </w:r>
      <w:hyperlink r:id="rId67">
        <w:r>
          <w:rPr>
            <w:color w:val="000000"/>
            <w:sz w:val="20"/>
            <w:szCs w:val="20"/>
          </w:rPr>
          <w:t>downloaded.</w:t>
        </w:r>
      </w:hyperlink>
      <w:r>
        <w:rPr>
          <w:sz w:val="20"/>
          <w:szCs w:val="20"/>
        </w:rPr>
        <w:t xml:space="preserve"> Those who have a SOLAR account and are 18 years of age or older may use </w:t>
      </w:r>
      <w:hyperlink r:id="rId68">
        <w:r>
          <w:rPr>
            <w:color w:val="000000"/>
            <w:sz w:val="20"/>
            <w:szCs w:val="20"/>
          </w:rPr>
          <w:t xml:space="preserve">SOLAR </w:t>
        </w:r>
      </w:hyperlink>
      <w:r>
        <w:rPr>
          <w:sz w:val="20"/>
          <w:szCs w:val="20"/>
        </w:rPr>
        <w:t xml:space="preserve">to submit the response form. </w:t>
      </w:r>
    </w:p>
    <w:p w14:paraId="24EFE10B" w14:textId="77777777" w:rsidR="00D81755" w:rsidRDefault="00D81755">
      <w:pPr>
        <w:pBdr>
          <w:top w:val="nil"/>
          <w:left w:val="nil"/>
          <w:bottom w:val="nil"/>
          <w:right w:val="nil"/>
          <w:between w:val="nil"/>
        </w:pBdr>
        <w:shd w:val="clear" w:color="auto" w:fill="FFFFFF"/>
        <w:jc w:val="both"/>
        <w:rPr>
          <w:color w:val="000000"/>
          <w:sz w:val="20"/>
          <w:szCs w:val="20"/>
        </w:rPr>
      </w:pPr>
    </w:p>
    <w:p w14:paraId="24EFE10C" w14:textId="77777777" w:rsidR="00D81755" w:rsidRDefault="0073296A">
      <w:pPr>
        <w:jc w:val="both"/>
        <w:rPr>
          <w:b/>
          <w:bCs/>
          <w:sz w:val="20"/>
          <w:szCs w:val="20"/>
        </w:rPr>
      </w:pPr>
      <w:r>
        <w:rPr>
          <w:sz w:val="20"/>
          <w:szCs w:val="20"/>
        </w:rPr>
        <w:t xml:space="preserve">Some part-time students may be eligible for the health insurance plan under special circumstances. Please contact the Insurance Office at (631) 632-6331. </w:t>
      </w:r>
    </w:p>
    <w:p w14:paraId="24EFE10D" w14:textId="77777777" w:rsidR="00D81755" w:rsidRDefault="00D81755">
      <w:pPr>
        <w:jc w:val="both"/>
        <w:rPr>
          <w:b/>
          <w:bCs/>
          <w:sz w:val="20"/>
          <w:szCs w:val="20"/>
        </w:rPr>
      </w:pPr>
    </w:p>
    <w:p w14:paraId="24EFE10E" w14:textId="77777777" w:rsidR="00D81755" w:rsidRDefault="0073296A">
      <w:pPr>
        <w:jc w:val="both"/>
        <w:rPr>
          <w:b/>
          <w:bCs/>
          <w:sz w:val="20"/>
          <w:szCs w:val="20"/>
        </w:rPr>
      </w:pPr>
      <w:r>
        <w:rPr>
          <w:b/>
          <w:bCs/>
          <w:sz w:val="20"/>
          <w:szCs w:val="20"/>
        </w:rPr>
        <w:t>Stony Brook Infirmary Fee</w:t>
      </w:r>
    </w:p>
    <w:p w14:paraId="24EFE10F" w14:textId="77777777" w:rsidR="00D81755" w:rsidRDefault="0073296A">
      <w:pPr>
        <w:jc w:val="both"/>
        <w:rPr>
          <w:sz w:val="20"/>
          <w:szCs w:val="20"/>
        </w:rPr>
      </w:pPr>
      <w:r>
        <w:rPr>
          <w:sz w:val="20"/>
          <w:szCs w:val="20"/>
        </w:rPr>
        <w:t>All students must pay the Stony Brook Infirmary Fee.  The fee covers comprehensive health services for both medical and mental health problems, for students and visiting scholars. It is not a substitute for health insurance. The Student Health Service building is the only location on campus where the mandatory health fee can be used. Medical Services that are beyond the scope of the Student Health Service can be obtained either at University Hospital Medical Center or through other medical providers in the community. However, the infirmary fee will not cover the cost of any medical services outside the Student Health Service Building. Call (631) 632-6740 for further information.</w:t>
      </w:r>
    </w:p>
    <w:p w14:paraId="24EFE110" w14:textId="77777777" w:rsidR="00D81755" w:rsidRDefault="00D81755">
      <w:pPr>
        <w:jc w:val="both"/>
        <w:rPr>
          <w:sz w:val="20"/>
          <w:szCs w:val="20"/>
        </w:rPr>
      </w:pPr>
    </w:p>
    <w:p w14:paraId="24EFE111" w14:textId="77777777" w:rsidR="00D81755" w:rsidRDefault="0073296A">
      <w:pPr>
        <w:jc w:val="both"/>
        <w:rPr>
          <w:b/>
          <w:bCs/>
          <w:sz w:val="20"/>
          <w:szCs w:val="20"/>
        </w:rPr>
      </w:pPr>
      <w:r>
        <w:rPr>
          <w:b/>
          <w:bCs/>
          <w:sz w:val="20"/>
          <w:szCs w:val="20"/>
        </w:rPr>
        <w:t xml:space="preserve">Stony Brook Food Pantry </w:t>
      </w:r>
    </w:p>
    <w:p w14:paraId="24EFE112" w14:textId="7E0E0469" w:rsidR="00D81755" w:rsidRDefault="0073296A">
      <w:pPr>
        <w:rPr>
          <w:sz w:val="20"/>
          <w:szCs w:val="20"/>
        </w:rPr>
      </w:pPr>
      <w:r>
        <w:rPr>
          <w:sz w:val="20"/>
          <w:szCs w:val="20"/>
        </w:rPr>
        <w:t>The </w:t>
      </w:r>
      <w:hyperlink r:id="rId69" w:history="1">
        <w:r w:rsidRPr="005710C2">
          <w:rPr>
            <w:rStyle w:val="Hyperlink"/>
            <w:sz w:val="20"/>
            <w:szCs w:val="20"/>
          </w:rPr>
          <w:t>Stony Brook University Food Pantry </w:t>
        </w:r>
      </w:hyperlink>
      <w:r>
        <w:rPr>
          <w:sz w:val="20"/>
          <w:szCs w:val="20"/>
        </w:rPr>
        <w:t>serves community members (students, staff and faculty) who are food insecure, or who are at risk of food insecurity. The SBU Food Pantry is committed to being a reliable and stable supplemental food source while providing resources to overcome food insecurity.</w:t>
      </w:r>
    </w:p>
    <w:p w14:paraId="24EFE114" w14:textId="77777777" w:rsidR="00D81755" w:rsidRDefault="0073296A">
      <w:pPr>
        <w:pStyle w:val="Heading2"/>
      </w:pPr>
      <w:bookmarkStart w:id="113" w:name="_heading=h.tvrchjjm7y9e" w:colFirst="0" w:colLast="0"/>
      <w:bookmarkEnd w:id="113"/>
      <w:r>
        <w:lastRenderedPageBreak/>
        <w:t>AMERICANS WITH DISABILITIES ACT</w:t>
      </w:r>
    </w:p>
    <w:p w14:paraId="24EFE115" w14:textId="77777777" w:rsidR="00D81755" w:rsidRDefault="0073296A">
      <w:pPr>
        <w:tabs>
          <w:tab w:val="left" w:pos="-720"/>
          <w:tab w:val="left" w:pos="0"/>
          <w:tab w:val="left" w:pos="720"/>
          <w:tab w:val="left" w:pos="1440"/>
          <w:tab w:val="left" w:pos="2160"/>
          <w:tab w:val="left" w:pos="2880"/>
          <w:tab w:val="left" w:pos="3600"/>
          <w:tab w:val="left" w:pos="4320"/>
        </w:tabs>
        <w:jc w:val="both"/>
        <w:rPr>
          <w:sz w:val="20"/>
          <w:szCs w:val="20"/>
        </w:rPr>
      </w:pPr>
      <w:r>
        <w:rPr>
          <w:sz w:val="20"/>
          <w:szCs w:val="20"/>
        </w:rPr>
        <w:t xml:space="preserve">Students with a physical, psychological, medical or learning disability that may impact course work, should contact Student Accessibility Support Center, Stony Brook Union Suite 107, (631) 632-6748. The staff will determine with the </w:t>
      </w:r>
      <w:proofErr w:type="gramStart"/>
      <w:r>
        <w:rPr>
          <w:sz w:val="20"/>
          <w:szCs w:val="20"/>
        </w:rPr>
        <w:t>student</w:t>
      </w:r>
      <w:proofErr w:type="gramEnd"/>
      <w:r>
        <w:rPr>
          <w:sz w:val="20"/>
          <w:szCs w:val="20"/>
        </w:rPr>
        <w:t xml:space="preserve"> what </w:t>
      </w:r>
      <w:proofErr w:type="gramStart"/>
      <w:r>
        <w:rPr>
          <w:sz w:val="20"/>
          <w:szCs w:val="20"/>
        </w:rPr>
        <w:t>accommodations</w:t>
      </w:r>
      <w:proofErr w:type="gramEnd"/>
      <w:r>
        <w:rPr>
          <w:sz w:val="20"/>
          <w:szCs w:val="20"/>
        </w:rPr>
        <w:t xml:space="preserve">, if any, </w:t>
      </w:r>
      <w:proofErr w:type="gramStart"/>
      <w:r>
        <w:rPr>
          <w:sz w:val="20"/>
          <w:szCs w:val="20"/>
        </w:rPr>
        <w:t>are</w:t>
      </w:r>
      <w:proofErr w:type="gramEnd"/>
      <w:r>
        <w:rPr>
          <w:sz w:val="20"/>
          <w:szCs w:val="20"/>
        </w:rPr>
        <w:t xml:space="preserve"> necessary and appropriate. All information and documentation </w:t>
      </w:r>
      <w:proofErr w:type="gramStart"/>
      <w:r>
        <w:rPr>
          <w:sz w:val="20"/>
          <w:szCs w:val="20"/>
        </w:rPr>
        <w:t>is</w:t>
      </w:r>
      <w:proofErr w:type="gramEnd"/>
      <w:r>
        <w:rPr>
          <w:sz w:val="20"/>
          <w:szCs w:val="20"/>
        </w:rPr>
        <w:t xml:space="preserve"> confidential.</w:t>
      </w:r>
    </w:p>
    <w:p w14:paraId="24EFE116" w14:textId="77777777" w:rsidR="00D81755" w:rsidRDefault="0073296A">
      <w:pPr>
        <w:pStyle w:val="Heading2"/>
      </w:pPr>
      <w:bookmarkStart w:id="114" w:name="_heading=h.ertkweoy7j08" w:colFirst="0" w:colLast="0"/>
      <w:bookmarkEnd w:id="114"/>
      <w:r>
        <w:t>FINANCIAL AID AND TUITION ASSISTANCE</w:t>
      </w:r>
    </w:p>
    <w:p w14:paraId="24EFE117" w14:textId="77777777" w:rsidR="00D81755" w:rsidRDefault="0073296A">
      <w:pPr>
        <w:rPr>
          <w:color w:val="000000"/>
          <w:sz w:val="20"/>
          <w:szCs w:val="20"/>
        </w:rPr>
      </w:pPr>
      <w:r>
        <w:rPr>
          <w:sz w:val="20"/>
          <w:szCs w:val="20"/>
        </w:rPr>
        <w:t>Inquiries about financial aid should be directed to the Office of Financial Aid: Stony Brook Union, Suite 208</w:t>
      </w:r>
      <w:r>
        <w:rPr>
          <w:color w:val="000000"/>
          <w:sz w:val="20"/>
          <w:szCs w:val="20"/>
        </w:rPr>
        <w:t>, (631) 632-6840.</w:t>
      </w:r>
    </w:p>
    <w:p w14:paraId="24EFE118" w14:textId="77777777" w:rsidR="00D81755" w:rsidRDefault="00D81755">
      <w:pPr>
        <w:rPr>
          <w:b/>
          <w:bCs/>
          <w:color w:val="000000"/>
          <w:sz w:val="20"/>
          <w:szCs w:val="20"/>
        </w:rPr>
      </w:pPr>
    </w:p>
    <w:p w14:paraId="24EFE119" w14:textId="77777777" w:rsidR="00D81755" w:rsidRDefault="0073296A">
      <w:pPr>
        <w:rPr>
          <w:b/>
          <w:bCs/>
          <w:color w:val="000000"/>
          <w:sz w:val="20"/>
          <w:szCs w:val="20"/>
        </w:rPr>
      </w:pPr>
      <w:r>
        <w:rPr>
          <w:b/>
          <w:bCs/>
          <w:color w:val="000000"/>
          <w:sz w:val="20"/>
          <w:szCs w:val="20"/>
        </w:rPr>
        <w:t>Tuition Assistance &amp; Reimbursement</w:t>
      </w:r>
    </w:p>
    <w:p w14:paraId="24EFE11A" w14:textId="77777777" w:rsidR="00D81755" w:rsidRDefault="0073296A">
      <w:pPr>
        <w:rPr>
          <w:color w:val="000000"/>
          <w:sz w:val="20"/>
          <w:szCs w:val="20"/>
        </w:rPr>
      </w:pPr>
      <w:r>
        <w:rPr>
          <w:color w:val="000000"/>
          <w:sz w:val="20"/>
          <w:szCs w:val="20"/>
        </w:rPr>
        <w:t xml:space="preserve">Several tuition assistance and reimbursement programs are available to full-time state employees at Stony Brook University and state hospital employees represented by United University Professions (UUP). </w:t>
      </w:r>
      <w:r>
        <w:rPr>
          <w:color w:val="000000"/>
          <w:sz w:val="20"/>
          <w:szCs w:val="20"/>
        </w:rPr>
        <w:br/>
      </w:r>
      <w:r>
        <w:rPr>
          <w:color w:val="000000"/>
          <w:sz w:val="20"/>
          <w:szCs w:val="20"/>
        </w:rPr>
        <w:br/>
        <w:t xml:space="preserve">More information about these programs is available at:  </w:t>
      </w:r>
      <w:hyperlink r:id="rId70">
        <w:r>
          <w:rPr>
            <w:color w:val="000000"/>
            <w:sz w:val="20"/>
            <w:szCs w:val="20"/>
          </w:rPr>
          <w:t>http://sbumc.informatics.sunysb.edu/medicalcenter/tuitionreimbursement</w:t>
        </w:r>
      </w:hyperlink>
    </w:p>
    <w:p w14:paraId="24EFE11B" w14:textId="77777777" w:rsidR="00D81755" w:rsidRDefault="00D81755">
      <w:pPr>
        <w:rPr>
          <w:color w:val="000000"/>
          <w:sz w:val="20"/>
          <w:szCs w:val="20"/>
        </w:rPr>
      </w:pPr>
    </w:p>
    <w:p w14:paraId="24EFE11C" w14:textId="77777777" w:rsidR="00D81755" w:rsidRDefault="0073296A">
      <w:pPr>
        <w:rPr>
          <w:b/>
          <w:bCs/>
          <w:color w:val="000000"/>
          <w:sz w:val="20"/>
          <w:szCs w:val="20"/>
        </w:rPr>
      </w:pPr>
      <w:r>
        <w:rPr>
          <w:b/>
          <w:bCs/>
          <w:color w:val="000000"/>
          <w:sz w:val="20"/>
          <w:szCs w:val="20"/>
        </w:rPr>
        <w:t>Employee Tuition Waiver Program</w:t>
      </w:r>
    </w:p>
    <w:p w14:paraId="24EFE11D" w14:textId="77777777" w:rsidR="00D81755" w:rsidRDefault="0073296A">
      <w:pPr>
        <w:rPr>
          <w:sz w:val="20"/>
          <w:szCs w:val="20"/>
        </w:rPr>
      </w:pPr>
      <w:r>
        <w:rPr>
          <w:color w:val="000000"/>
          <w:sz w:val="20"/>
          <w:szCs w:val="20"/>
        </w:rPr>
        <w:t xml:space="preserve">All full-time state employees at Stony Brook University are eligible for tuition assistance for one course each semester.  </w:t>
      </w:r>
      <w:r>
        <w:rPr>
          <w:sz w:val="20"/>
          <w:szCs w:val="20"/>
        </w:rPr>
        <w:t>The waiver program pays a percentage of tuition for courses that are deemed to be job-related.  The waiver is intended to be used by full-time employees for a second course, or a course not covered by any other program.</w:t>
      </w:r>
    </w:p>
    <w:p w14:paraId="24EFE11E" w14:textId="77777777" w:rsidR="00D81755" w:rsidRDefault="00D81755">
      <w:pPr>
        <w:rPr>
          <w:sz w:val="20"/>
          <w:szCs w:val="20"/>
        </w:rPr>
      </w:pPr>
    </w:p>
    <w:p w14:paraId="24EFE11F" w14:textId="77777777" w:rsidR="00D81755" w:rsidRDefault="0073296A">
      <w:pPr>
        <w:rPr>
          <w:sz w:val="20"/>
          <w:szCs w:val="20"/>
        </w:rPr>
      </w:pPr>
      <w:r>
        <w:rPr>
          <w:sz w:val="20"/>
          <w:szCs w:val="20"/>
        </w:rPr>
        <w:t>For more information or to contact the Benefit staff,</w:t>
      </w:r>
    </w:p>
    <w:p w14:paraId="24EFE120" w14:textId="403C1CAE" w:rsidR="00D81755" w:rsidRDefault="0073296A">
      <w:pPr>
        <w:rPr>
          <w:color w:val="000000"/>
          <w:sz w:val="20"/>
          <w:szCs w:val="20"/>
          <w:highlight w:val="yellow"/>
        </w:rPr>
      </w:pPr>
      <w:r>
        <w:rPr>
          <w:sz w:val="20"/>
          <w:szCs w:val="20"/>
        </w:rPr>
        <w:t>call</w:t>
      </w:r>
      <w:r>
        <w:rPr>
          <w:color w:val="000000"/>
          <w:sz w:val="20"/>
          <w:szCs w:val="20"/>
        </w:rPr>
        <w:t xml:space="preserve"> 631-632-6180. For the application, </w:t>
      </w:r>
      <w:r w:rsidR="004F0AB9">
        <w:rPr>
          <w:color w:val="000000"/>
          <w:sz w:val="20"/>
          <w:szCs w:val="20"/>
        </w:rPr>
        <w:t xml:space="preserve">visits </w:t>
      </w:r>
      <w:hyperlink r:id="rId71" w:history="1">
        <w:r w:rsidR="004F0AB9" w:rsidRPr="004F0AB9">
          <w:rPr>
            <w:rStyle w:val="Hyperlink"/>
            <w:sz w:val="20"/>
            <w:szCs w:val="20"/>
          </w:rPr>
          <w:t>Human Resources website</w:t>
        </w:r>
      </w:hyperlink>
      <w:r w:rsidR="004F0AB9">
        <w:rPr>
          <w:color w:val="000000"/>
          <w:sz w:val="20"/>
          <w:szCs w:val="20"/>
        </w:rPr>
        <w:t xml:space="preserve">. </w:t>
      </w:r>
      <w:r>
        <w:rPr>
          <w:color w:val="000000"/>
          <w:sz w:val="20"/>
          <w:szCs w:val="20"/>
        </w:rPr>
        <w:t xml:space="preserve">   </w:t>
      </w:r>
    </w:p>
    <w:p w14:paraId="24EFE121" w14:textId="77777777" w:rsidR="00D81755" w:rsidRDefault="0073296A">
      <w:pPr>
        <w:rPr>
          <w:color w:val="000000"/>
          <w:sz w:val="20"/>
          <w:szCs w:val="20"/>
          <w:highlight w:val="yellow"/>
        </w:rPr>
      </w:pPr>
      <w:r>
        <w:rPr>
          <w:color w:val="000000"/>
          <w:sz w:val="20"/>
          <w:szCs w:val="20"/>
        </w:rPr>
        <w:t>The application is available under the ‘Benefits’ category.</w:t>
      </w:r>
    </w:p>
    <w:p w14:paraId="24EFE122" w14:textId="77777777" w:rsidR="00D81755" w:rsidRDefault="00D81755">
      <w:pPr>
        <w:rPr>
          <w:b/>
          <w:bCs/>
          <w:color w:val="000000"/>
          <w:sz w:val="20"/>
          <w:szCs w:val="20"/>
        </w:rPr>
      </w:pPr>
    </w:p>
    <w:p w14:paraId="24EFE123" w14:textId="77777777" w:rsidR="00D81755" w:rsidRDefault="0073296A">
      <w:pPr>
        <w:rPr>
          <w:b/>
          <w:bCs/>
          <w:color w:val="000000"/>
          <w:sz w:val="20"/>
          <w:szCs w:val="20"/>
        </w:rPr>
      </w:pPr>
      <w:r>
        <w:rPr>
          <w:b/>
          <w:bCs/>
          <w:color w:val="000000"/>
          <w:sz w:val="20"/>
          <w:szCs w:val="20"/>
        </w:rPr>
        <w:t>UUP Tuition Assistance Program</w:t>
      </w:r>
    </w:p>
    <w:p w14:paraId="24EFE124" w14:textId="79367AFF" w:rsidR="00D81755" w:rsidRDefault="0073296A">
      <w:pPr>
        <w:rPr>
          <w:sz w:val="20"/>
          <w:szCs w:val="20"/>
        </w:rPr>
      </w:pPr>
      <w:r>
        <w:rPr>
          <w:sz w:val="20"/>
          <w:szCs w:val="20"/>
        </w:rPr>
        <w:t xml:space="preserve">The </w:t>
      </w:r>
      <w:hyperlink r:id="rId72" w:history="1">
        <w:r w:rsidRPr="004F0AB9">
          <w:rPr>
            <w:rStyle w:val="Hyperlink"/>
            <w:sz w:val="20"/>
            <w:szCs w:val="20"/>
          </w:rPr>
          <w:t>UUP Tuition Assistance Program</w:t>
        </w:r>
      </w:hyperlink>
      <w:r>
        <w:rPr>
          <w:sz w:val="20"/>
          <w:szCs w:val="20"/>
        </w:rPr>
        <w:t xml:space="preserve"> covers tuition, but not fees, for one course each semester throughout the year, including Fall, Spring, Winter Session, Summer Session 1, and Summer Session 2 on a space-available basis.</w:t>
      </w:r>
    </w:p>
    <w:p w14:paraId="24EFE125" w14:textId="3A196FE3" w:rsidR="00D81755" w:rsidRDefault="0073296A">
      <w:pPr>
        <w:rPr>
          <w:color w:val="000000"/>
          <w:sz w:val="20"/>
          <w:szCs w:val="20"/>
        </w:rPr>
      </w:pPr>
      <w:r>
        <w:rPr>
          <w:sz w:val="20"/>
          <w:szCs w:val="20"/>
        </w:rPr>
        <w:t>More information about this program, including application procedures, is available</w:t>
      </w:r>
      <w:r w:rsidR="004F0AB9">
        <w:rPr>
          <w:sz w:val="20"/>
          <w:szCs w:val="20"/>
        </w:rPr>
        <w:t xml:space="preserve">. </w:t>
      </w:r>
    </w:p>
    <w:p w14:paraId="24EFE126" w14:textId="77777777" w:rsidR="00D81755" w:rsidRDefault="00D81755">
      <w:pPr>
        <w:rPr>
          <w:sz w:val="20"/>
          <w:szCs w:val="20"/>
        </w:rPr>
      </w:pPr>
    </w:p>
    <w:p w14:paraId="24EFE127" w14:textId="3E498FB4" w:rsidR="00D81755" w:rsidRDefault="0073296A">
      <w:pPr>
        <w:rPr>
          <w:sz w:val="20"/>
          <w:szCs w:val="20"/>
        </w:rPr>
        <w:sectPr w:rsidR="00D81755">
          <w:footerReference w:type="default" r:id="rId73"/>
          <w:pgSz w:w="12240" w:h="15840"/>
          <w:pgMar w:top="1008" w:right="720" w:bottom="1008" w:left="720" w:header="720" w:footer="720" w:gutter="0"/>
          <w:pgNumType w:start="1"/>
          <w:cols w:space="720"/>
          <w:titlePg/>
        </w:sectPr>
      </w:pPr>
      <w:r>
        <w:rPr>
          <w:sz w:val="20"/>
          <w:szCs w:val="20"/>
        </w:rPr>
        <w:t xml:space="preserve">Christine Elfast and </w:t>
      </w:r>
      <w:r w:rsidR="004F0AB9">
        <w:rPr>
          <w:sz w:val="20"/>
          <w:szCs w:val="20"/>
        </w:rPr>
        <w:t>Kalin Welch</w:t>
      </w:r>
      <w:r>
        <w:rPr>
          <w:sz w:val="20"/>
          <w:szCs w:val="20"/>
        </w:rPr>
        <w:t xml:space="preserve">, </w:t>
      </w:r>
      <w:hyperlink r:id="rId74" w:history="1">
        <w:r w:rsidRPr="005710C2">
          <w:rPr>
            <w:rStyle w:val="Hyperlink"/>
            <w:sz w:val="20"/>
            <w:szCs w:val="20"/>
          </w:rPr>
          <w:t>Hospital Human Resources</w:t>
        </w:r>
      </w:hyperlink>
      <w:r>
        <w:rPr>
          <w:sz w:val="20"/>
          <w:szCs w:val="20"/>
        </w:rPr>
        <w:t>, at 631-216-8073, are the contact persons for residents and fellows who are hospital employees.</w:t>
      </w:r>
      <w:r>
        <w:t xml:space="preserve"> </w:t>
      </w:r>
    </w:p>
    <w:p w14:paraId="24EFE128" w14:textId="77777777" w:rsidR="00D81755" w:rsidRDefault="00D81755">
      <w:pPr>
        <w:widowControl w:val="0"/>
        <w:pBdr>
          <w:top w:val="nil"/>
          <w:left w:val="nil"/>
          <w:bottom w:val="nil"/>
          <w:right w:val="nil"/>
          <w:between w:val="nil"/>
        </w:pBdr>
        <w:spacing w:line="276" w:lineRule="auto"/>
        <w:rPr>
          <w:color w:val="000000"/>
          <w:sz w:val="20"/>
          <w:szCs w:val="20"/>
        </w:rPr>
      </w:pPr>
    </w:p>
    <w:tbl>
      <w:tblPr>
        <w:tblStyle w:val="a"/>
        <w:tblW w:w="11356" w:type="dxa"/>
        <w:tblInd w:w="0" w:type="dxa"/>
        <w:tblBorders>
          <w:top w:val="single" w:sz="8" w:space="0" w:color="000000"/>
          <w:left w:val="single" w:sz="8" w:space="0" w:color="000000"/>
          <w:bottom w:val="single" w:sz="8" w:space="0" w:color="000000"/>
          <w:right w:val="single" w:sz="8" w:space="0" w:color="000000"/>
        </w:tblBorders>
        <w:tblLayout w:type="fixed"/>
        <w:tblLook w:val="0420" w:firstRow="1" w:lastRow="0" w:firstColumn="0" w:lastColumn="0" w:noHBand="0" w:noVBand="1"/>
      </w:tblPr>
      <w:tblGrid>
        <w:gridCol w:w="4263"/>
        <w:gridCol w:w="7093"/>
      </w:tblGrid>
      <w:tr w:rsidR="00D81755" w14:paraId="24EFE12A" w14:textId="77777777" w:rsidTr="00A27B70">
        <w:trPr>
          <w:trHeight w:val="336"/>
        </w:trPr>
        <w:tc>
          <w:tcPr>
            <w:tcW w:w="11356" w:type="dxa"/>
            <w:gridSpan w:val="2"/>
            <w:shd w:val="clear" w:color="auto" w:fill="FFFFFF"/>
          </w:tcPr>
          <w:p w14:paraId="24EFE129" w14:textId="77777777" w:rsidR="00D81755" w:rsidRDefault="0073296A">
            <w:pPr>
              <w:rPr>
                <w:b/>
                <w:bCs/>
                <w:sz w:val="20"/>
                <w:szCs w:val="20"/>
              </w:rPr>
            </w:pPr>
            <w:r>
              <w:rPr>
                <w:b/>
                <w:bCs/>
                <w:sz w:val="20"/>
                <w:szCs w:val="20"/>
              </w:rPr>
              <w:t>Table 1 Goal Statements and Measurable Objectives for the Master of Public Health Degree Program</w:t>
            </w:r>
          </w:p>
        </w:tc>
      </w:tr>
      <w:tr w:rsidR="00D81755" w14:paraId="24EFE12D" w14:textId="77777777" w:rsidTr="00A27B70">
        <w:trPr>
          <w:trHeight w:val="270"/>
        </w:trPr>
        <w:tc>
          <w:tcPr>
            <w:tcW w:w="4263" w:type="dxa"/>
            <w:shd w:val="clear" w:color="auto" w:fill="000000"/>
          </w:tcPr>
          <w:p w14:paraId="24EFE12B" w14:textId="77777777" w:rsidR="00D81755" w:rsidRDefault="0073296A">
            <w:pPr>
              <w:rPr>
                <w:b/>
                <w:bCs/>
                <w:color w:val="FFFFFF"/>
                <w:sz w:val="20"/>
                <w:szCs w:val="20"/>
              </w:rPr>
            </w:pPr>
            <w:r>
              <w:rPr>
                <w:b/>
                <w:bCs/>
                <w:color w:val="FFFFFF"/>
                <w:sz w:val="20"/>
                <w:szCs w:val="20"/>
              </w:rPr>
              <w:t>Goal</w:t>
            </w:r>
          </w:p>
        </w:tc>
        <w:tc>
          <w:tcPr>
            <w:tcW w:w="7093" w:type="dxa"/>
            <w:shd w:val="clear" w:color="auto" w:fill="000000"/>
          </w:tcPr>
          <w:p w14:paraId="24EFE12C" w14:textId="77777777" w:rsidR="00D81755" w:rsidRDefault="0073296A">
            <w:pPr>
              <w:rPr>
                <w:b/>
                <w:bCs/>
                <w:color w:val="FFFFFF"/>
                <w:sz w:val="20"/>
                <w:szCs w:val="20"/>
              </w:rPr>
            </w:pPr>
            <w:r>
              <w:rPr>
                <w:b/>
                <w:bCs/>
                <w:color w:val="FFFFFF"/>
                <w:sz w:val="20"/>
                <w:szCs w:val="20"/>
              </w:rPr>
              <w:t>Objectives</w:t>
            </w:r>
          </w:p>
        </w:tc>
      </w:tr>
      <w:tr w:rsidR="00D81755" w14:paraId="24EFE131" w14:textId="77777777" w:rsidTr="00A27B70">
        <w:tc>
          <w:tcPr>
            <w:tcW w:w="4263" w:type="dxa"/>
            <w:vMerge w:val="restart"/>
            <w:tcBorders>
              <w:top w:val="single" w:sz="8" w:space="0" w:color="000000"/>
              <w:left w:val="single" w:sz="8" w:space="0" w:color="000000"/>
            </w:tcBorders>
          </w:tcPr>
          <w:p w14:paraId="24EFE12E" w14:textId="77777777" w:rsidR="00D81755" w:rsidRDefault="0073296A">
            <w:pPr>
              <w:widowControl w:val="0"/>
              <w:pBdr>
                <w:top w:val="nil"/>
                <w:left w:val="nil"/>
                <w:bottom w:val="nil"/>
                <w:right w:val="nil"/>
                <w:between w:val="nil"/>
              </w:pBdr>
              <w:spacing w:line="266" w:lineRule="auto"/>
              <w:ind w:left="97"/>
              <w:rPr>
                <w:color w:val="000000"/>
                <w:sz w:val="20"/>
                <w:szCs w:val="20"/>
              </w:rPr>
            </w:pPr>
            <w:r>
              <w:rPr>
                <w:b/>
                <w:bCs/>
                <w:color w:val="000000"/>
                <w:sz w:val="20"/>
                <w:szCs w:val="20"/>
              </w:rPr>
              <w:t>GOAL 1: (Instruction)</w:t>
            </w:r>
          </w:p>
          <w:p w14:paraId="24EFE12F" w14:textId="77777777" w:rsidR="00D81755" w:rsidRDefault="0073296A">
            <w:pPr>
              <w:rPr>
                <w:b/>
                <w:bCs/>
                <w:color w:val="000000"/>
                <w:sz w:val="20"/>
                <w:szCs w:val="20"/>
              </w:rPr>
            </w:pPr>
            <w:r>
              <w:rPr>
                <w:b/>
                <w:bCs/>
                <w:sz w:val="20"/>
                <w:szCs w:val="20"/>
              </w:rPr>
              <w:t>Admit and retain a high-quality MPH student body.</w:t>
            </w:r>
          </w:p>
        </w:tc>
        <w:tc>
          <w:tcPr>
            <w:tcW w:w="7093" w:type="dxa"/>
            <w:tcBorders>
              <w:top w:val="single" w:sz="8" w:space="0" w:color="000000"/>
              <w:bottom w:val="single" w:sz="8" w:space="0" w:color="000000"/>
              <w:right w:val="single" w:sz="8" w:space="0" w:color="000000"/>
            </w:tcBorders>
          </w:tcPr>
          <w:p w14:paraId="24EFE130" w14:textId="77777777" w:rsidR="00D81755" w:rsidRDefault="0073296A">
            <w:pPr>
              <w:rPr>
                <w:i/>
                <w:iCs/>
                <w:color w:val="000000"/>
                <w:sz w:val="20"/>
                <w:szCs w:val="20"/>
              </w:rPr>
            </w:pPr>
            <w:r>
              <w:rPr>
                <w:sz w:val="20"/>
                <w:szCs w:val="20"/>
              </w:rPr>
              <w:t xml:space="preserve">1a) </w:t>
            </w:r>
            <w:r>
              <w:rPr>
                <w:color w:val="000000"/>
                <w:sz w:val="20"/>
                <w:szCs w:val="20"/>
              </w:rPr>
              <w:t>A holistic review and student selection process that considers a comprehensive range of applicant factors including work experience, volunteer experience</w:t>
            </w:r>
            <w:proofErr w:type="gramStart"/>
            <w:r>
              <w:rPr>
                <w:color w:val="000000"/>
                <w:sz w:val="20"/>
                <w:szCs w:val="20"/>
              </w:rPr>
              <w:t>, research</w:t>
            </w:r>
            <w:proofErr w:type="gramEnd"/>
            <w:r>
              <w:rPr>
                <w:color w:val="000000"/>
                <w:sz w:val="20"/>
                <w:szCs w:val="20"/>
              </w:rPr>
              <w:t xml:space="preserve"> experience. academic metrics (e.g., GPA, course work and grades, etc.), TOEFL scores for students whose native language is other than English, letters of recommendation and a personal essay, highlighting the applicant’s interest in public health and potential to contribute to the field.</w:t>
            </w:r>
          </w:p>
        </w:tc>
      </w:tr>
      <w:tr w:rsidR="00D81755" w14:paraId="24EFE134" w14:textId="77777777" w:rsidTr="00A27B70">
        <w:tc>
          <w:tcPr>
            <w:tcW w:w="4263" w:type="dxa"/>
            <w:vMerge/>
            <w:tcBorders>
              <w:top w:val="single" w:sz="8" w:space="0" w:color="000000"/>
              <w:left w:val="single" w:sz="8" w:space="0" w:color="000000"/>
            </w:tcBorders>
          </w:tcPr>
          <w:p w14:paraId="24EFE132" w14:textId="77777777" w:rsidR="00D81755" w:rsidRDefault="00D81755">
            <w:pPr>
              <w:widowControl w:val="0"/>
              <w:pBdr>
                <w:top w:val="nil"/>
                <w:left w:val="nil"/>
                <w:bottom w:val="nil"/>
                <w:right w:val="nil"/>
                <w:between w:val="nil"/>
              </w:pBdr>
              <w:spacing w:line="276" w:lineRule="auto"/>
              <w:rPr>
                <w:i/>
                <w:iCs/>
                <w:color w:val="000000"/>
                <w:sz w:val="20"/>
                <w:szCs w:val="20"/>
              </w:rPr>
            </w:pPr>
          </w:p>
        </w:tc>
        <w:tc>
          <w:tcPr>
            <w:tcW w:w="7093" w:type="dxa"/>
            <w:tcBorders>
              <w:top w:val="single" w:sz="8" w:space="0" w:color="000000"/>
              <w:bottom w:val="single" w:sz="8" w:space="0" w:color="000000"/>
              <w:right w:val="single" w:sz="8" w:space="0" w:color="000000"/>
            </w:tcBorders>
          </w:tcPr>
          <w:p w14:paraId="24EFE133" w14:textId="77777777" w:rsidR="00D81755" w:rsidRDefault="0073296A">
            <w:pPr>
              <w:rPr>
                <w:color w:val="000000"/>
                <w:sz w:val="20"/>
                <w:szCs w:val="20"/>
              </w:rPr>
            </w:pPr>
            <w:r>
              <w:rPr>
                <w:sz w:val="20"/>
                <w:szCs w:val="20"/>
              </w:rPr>
              <w:t>1b) Student performance that supports optimum achievement.</w:t>
            </w:r>
          </w:p>
        </w:tc>
      </w:tr>
      <w:tr w:rsidR="00D81755" w14:paraId="24EFE137" w14:textId="77777777" w:rsidTr="00A27B70">
        <w:trPr>
          <w:trHeight w:val="358"/>
        </w:trPr>
        <w:tc>
          <w:tcPr>
            <w:tcW w:w="4263" w:type="dxa"/>
            <w:vMerge/>
            <w:tcBorders>
              <w:top w:val="single" w:sz="8" w:space="0" w:color="000000"/>
              <w:left w:val="single" w:sz="8" w:space="0" w:color="000000"/>
            </w:tcBorders>
          </w:tcPr>
          <w:p w14:paraId="24EFE135" w14:textId="77777777" w:rsidR="00D81755" w:rsidRDefault="00D81755">
            <w:pPr>
              <w:widowControl w:val="0"/>
              <w:pBdr>
                <w:top w:val="nil"/>
                <w:left w:val="nil"/>
                <w:bottom w:val="nil"/>
                <w:right w:val="nil"/>
                <w:between w:val="nil"/>
              </w:pBdr>
              <w:spacing w:line="276" w:lineRule="auto"/>
              <w:rPr>
                <w:color w:val="000000"/>
                <w:sz w:val="20"/>
                <w:szCs w:val="20"/>
              </w:rPr>
            </w:pPr>
          </w:p>
        </w:tc>
        <w:tc>
          <w:tcPr>
            <w:tcW w:w="7093" w:type="dxa"/>
            <w:tcBorders>
              <w:top w:val="single" w:sz="8" w:space="0" w:color="000000"/>
              <w:bottom w:val="single" w:sz="8" w:space="0" w:color="000000"/>
              <w:right w:val="single" w:sz="8" w:space="0" w:color="000000"/>
            </w:tcBorders>
          </w:tcPr>
          <w:p w14:paraId="24EFE136" w14:textId="77777777" w:rsidR="00D81755" w:rsidRDefault="0073296A">
            <w:pPr>
              <w:widowControl w:val="0"/>
              <w:pBdr>
                <w:top w:val="nil"/>
                <w:left w:val="nil"/>
                <w:bottom w:val="nil"/>
                <w:right w:val="nil"/>
                <w:between w:val="nil"/>
              </w:pBdr>
              <w:spacing w:before="4" w:line="244" w:lineRule="auto"/>
              <w:ind w:right="488"/>
              <w:rPr>
                <w:color w:val="000000"/>
                <w:sz w:val="20"/>
                <w:szCs w:val="20"/>
              </w:rPr>
            </w:pPr>
            <w:r>
              <w:rPr>
                <w:color w:val="000000"/>
                <w:sz w:val="20"/>
                <w:szCs w:val="20"/>
              </w:rPr>
              <w:t>1c) Students meet an acceptable standard of professionalism and academic integrity.</w:t>
            </w:r>
          </w:p>
        </w:tc>
      </w:tr>
      <w:tr w:rsidR="00D81755" w14:paraId="24EFE13B" w14:textId="77777777" w:rsidTr="00A27B70">
        <w:tc>
          <w:tcPr>
            <w:tcW w:w="4263" w:type="dxa"/>
            <w:vMerge w:val="restart"/>
            <w:tcBorders>
              <w:top w:val="single" w:sz="8" w:space="0" w:color="000000"/>
              <w:left w:val="single" w:sz="8" w:space="0" w:color="000000"/>
            </w:tcBorders>
          </w:tcPr>
          <w:p w14:paraId="24EFE138" w14:textId="77777777" w:rsidR="00D81755" w:rsidRDefault="0073296A">
            <w:pPr>
              <w:widowControl w:val="0"/>
              <w:pBdr>
                <w:top w:val="nil"/>
                <w:left w:val="nil"/>
                <w:bottom w:val="nil"/>
                <w:right w:val="nil"/>
                <w:between w:val="nil"/>
              </w:pBdr>
              <w:spacing w:line="264" w:lineRule="auto"/>
              <w:ind w:left="97"/>
              <w:rPr>
                <w:b/>
                <w:bCs/>
                <w:color w:val="000000"/>
                <w:sz w:val="20"/>
                <w:szCs w:val="20"/>
              </w:rPr>
            </w:pPr>
            <w:r>
              <w:rPr>
                <w:b/>
                <w:bCs/>
                <w:color w:val="000000"/>
                <w:sz w:val="20"/>
                <w:szCs w:val="20"/>
              </w:rPr>
              <w:t>GOAL 2: (Instruction)</w:t>
            </w:r>
          </w:p>
          <w:p w14:paraId="24EFE139" w14:textId="77777777" w:rsidR="00D81755" w:rsidRDefault="0073296A">
            <w:pPr>
              <w:widowControl w:val="0"/>
              <w:pBdr>
                <w:top w:val="nil"/>
                <w:left w:val="nil"/>
                <w:bottom w:val="nil"/>
                <w:right w:val="nil"/>
                <w:between w:val="nil"/>
              </w:pBdr>
              <w:spacing w:line="264" w:lineRule="auto"/>
              <w:ind w:left="97"/>
              <w:rPr>
                <w:color w:val="000000"/>
                <w:sz w:val="20"/>
                <w:szCs w:val="20"/>
              </w:rPr>
            </w:pPr>
            <w:r>
              <w:rPr>
                <w:b/>
                <w:bCs/>
                <w:color w:val="000000"/>
                <w:sz w:val="20"/>
                <w:szCs w:val="20"/>
              </w:rPr>
              <w:t>Deliver a high-quality curriculum that prepares students to meet the needs of the evolving public health field.</w:t>
            </w:r>
          </w:p>
        </w:tc>
        <w:tc>
          <w:tcPr>
            <w:tcW w:w="7093" w:type="dxa"/>
            <w:tcBorders>
              <w:top w:val="single" w:sz="8" w:space="0" w:color="000000"/>
              <w:bottom w:val="single" w:sz="8" w:space="0" w:color="000000"/>
              <w:right w:val="single" w:sz="8" w:space="0" w:color="000000"/>
            </w:tcBorders>
          </w:tcPr>
          <w:p w14:paraId="24EFE13A" w14:textId="77777777" w:rsidR="00D81755" w:rsidRDefault="0073296A">
            <w:pPr>
              <w:rPr>
                <w:color w:val="000000"/>
                <w:sz w:val="20"/>
                <w:szCs w:val="20"/>
              </w:rPr>
            </w:pPr>
            <w:r>
              <w:rPr>
                <w:sz w:val="20"/>
                <w:szCs w:val="20"/>
              </w:rPr>
              <w:t>2a) Maintain CEPH accreditation.</w:t>
            </w:r>
          </w:p>
        </w:tc>
      </w:tr>
      <w:tr w:rsidR="00D81755" w14:paraId="24EFE13E" w14:textId="77777777" w:rsidTr="00A27B70">
        <w:tc>
          <w:tcPr>
            <w:tcW w:w="4263" w:type="dxa"/>
            <w:vMerge/>
            <w:tcBorders>
              <w:top w:val="single" w:sz="8" w:space="0" w:color="000000"/>
              <w:left w:val="single" w:sz="8" w:space="0" w:color="000000"/>
            </w:tcBorders>
          </w:tcPr>
          <w:p w14:paraId="24EFE13C" w14:textId="77777777" w:rsidR="00D81755" w:rsidRDefault="00D81755">
            <w:pPr>
              <w:widowControl w:val="0"/>
              <w:pBdr>
                <w:top w:val="nil"/>
                <w:left w:val="nil"/>
                <w:bottom w:val="nil"/>
                <w:right w:val="nil"/>
                <w:between w:val="nil"/>
              </w:pBdr>
              <w:spacing w:line="276" w:lineRule="auto"/>
              <w:rPr>
                <w:color w:val="000000"/>
                <w:sz w:val="20"/>
                <w:szCs w:val="20"/>
              </w:rPr>
            </w:pPr>
          </w:p>
        </w:tc>
        <w:tc>
          <w:tcPr>
            <w:tcW w:w="7093" w:type="dxa"/>
            <w:tcBorders>
              <w:top w:val="single" w:sz="8" w:space="0" w:color="000000"/>
              <w:bottom w:val="single" w:sz="8" w:space="0" w:color="000000"/>
              <w:right w:val="single" w:sz="8" w:space="0" w:color="000000"/>
            </w:tcBorders>
          </w:tcPr>
          <w:p w14:paraId="24EFE13D" w14:textId="77777777" w:rsidR="00D81755" w:rsidRDefault="0073296A">
            <w:pPr>
              <w:rPr>
                <w:color w:val="000000"/>
                <w:sz w:val="20"/>
                <w:szCs w:val="20"/>
              </w:rPr>
            </w:pPr>
            <w:r>
              <w:rPr>
                <w:sz w:val="20"/>
                <w:szCs w:val="20"/>
              </w:rPr>
              <w:t>2b) Faculty, student, alumni, and stakeholder perceptions of the relevance, currency and quality of the MPH curriculum, including course content, instructors, competency mapping, active learning strategies, and assessment.</w:t>
            </w:r>
          </w:p>
        </w:tc>
      </w:tr>
      <w:tr w:rsidR="00D81755" w14:paraId="24EFE141" w14:textId="77777777" w:rsidTr="00A27B70">
        <w:tc>
          <w:tcPr>
            <w:tcW w:w="4263" w:type="dxa"/>
            <w:vMerge/>
            <w:tcBorders>
              <w:top w:val="single" w:sz="8" w:space="0" w:color="000000"/>
              <w:left w:val="single" w:sz="8" w:space="0" w:color="000000"/>
            </w:tcBorders>
          </w:tcPr>
          <w:p w14:paraId="24EFE13F" w14:textId="77777777" w:rsidR="00D81755" w:rsidRDefault="00D81755">
            <w:pPr>
              <w:widowControl w:val="0"/>
              <w:pBdr>
                <w:top w:val="nil"/>
                <w:left w:val="nil"/>
                <w:bottom w:val="nil"/>
                <w:right w:val="nil"/>
                <w:between w:val="nil"/>
              </w:pBdr>
              <w:spacing w:line="276" w:lineRule="auto"/>
              <w:rPr>
                <w:color w:val="000000"/>
                <w:sz w:val="20"/>
                <w:szCs w:val="20"/>
              </w:rPr>
            </w:pPr>
          </w:p>
        </w:tc>
        <w:tc>
          <w:tcPr>
            <w:tcW w:w="7093" w:type="dxa"/>
            <w:tcBorders>
              <w:top w:val="single" w:sz="8" w:space="0" w:color="000000"/>
              <w:bottom w:val="single" w:sz="8" w:space="0" w:color="000000"/>
              <w:right w:val="single" w:sz="8" w:space="0" w:color="000000"/>
            </w:tcBorders>
          </w:tcPr>
          <w:p w14:paraId="24EFE140" w14:textId="77777777" w:rsidR="00D81755" w:rsidRDefault="0073296A">
            <w:pPr>
              <w:rPr>
                <w:color w:val="000000"/>
                <w:sz w:val="20"/>
                <w:szCs w:val="20"/>
              </w:rPr>
            </w:pPr>
            <w:r>
              <w:rPr>
                <w:sz w:val="20"/>
                <w:szCs w:val="20"/>
              </w:rPr>
              <w:t>2c) Graduates’ and alumni perceptions of how well the program prepares them for work in the public health field.</w:t>
            </w:r>
          </w:p>
        </w:tc>
      </w:tr>
      <w:tr w:rsidR="00D81755" w14:paraId="24EFE144" w14:textId="77777777" w:rsidTr="00A27B70">
        <w:tc>
          <w:tcPr>
            <w:tcW w:w="4263" w:type="dxa"/>
            <w:vMerge/>
            <w:tcBorders>
              <w:top w:val="single" w:sz="8" w:space="0" w:color="000000"/>
              <w:left w:val="single" w:sz="8" w:space="0" w:color="000000"/>
            </w:tcBorders>
          </w:tcPr>
          <w:p w14:paraId="24EFE142" w14:textId="77777777" w:rsidR="00D81755" w:rsidRDefault="00D81755">
            <w:pPr>
              <w:widowControl w:val="0"/>
              <w:pBdr>
                <w:top w:val="nil"/>
                <w:left w:val="nil"/>
                <w:bottom w:val="nil"/>
                <w:right w:val="nil"/>
                <w:between w:val="nil"/>
              </w:pBdr>
              <w:spacing w:line="276" w:lineRule="auto"/>
              <w:rPr>
                <w:color w:val="000000"/>
                <w:sz w:val="20"/>
                <w:szCs w:val="20"/>
              </w:rPr>
            </w:pPr>
          </w:p>
        </w:tc>
        <w:tc>
          <w:tcPr>
            <w:tcW w:w="7093" w:type="dxa"/>
            <w:tcBorders>
              <w:top w:val="single" w:sz="8" w:space="0" w:color="000000"/>
              <w:bottom w:val="single" w:sz="8" w:space="0" w:color="000000"/>
              <w:right w:val="single" w:sz="8" w:space="0" w:color="000000"/>
            </w:tcBorders>
          </w:tcPr>
          <w:p w14:paraId="24EFE143" w14:textId="77777777" w:rsidR="00D81755" w:rsidRDefault="0073296A">
            <w:pPr>
              <w:rPr>
                <w:color w:val="000000"/>
                <w:sz w:val="20"/>
                <w:szCs w:val="20"/>
              </w:rPr>
            </w:pPr>
            <w:r>
              <w:rPr>
                <w:sz w:val="20"/>
                <w:szCs w:val="20"/>
              </w:rPr>
              <w:t>2d) Faculty attend professional development activities and make use of resources designed to maintain currency in pedagogical methods.</w:t>
            </w:r>
          </w:p>
        </w:tc>
      </w:tr>
      <w:tr w:rsidR="00D81755" w14:paraId="24EFE147" w14:textId="77777777" w:rsidTr="00A27B70">
        <w:tc>
          <w:tcPr>
            <w:tcW w:w="4263" w:type="dxa"/>
            <w:vMerge/>
            <w:tcBorders>
              <w:top w:val="single" w:sz="8" w:space="0" w:color="000000"/>
              <w:left w:val="single" w:sz="8" w:space="0" w:color="000000"/>
            </w:tcBorders>
          </w:tcPr>
          <w:p w14:paraId="24EFE145" w14:textId="77777777" w:rsidR="00D81755" w:rsidRDefault="00D81755">
            <w:pPr>
              <w:widowControl w:val="0"/>
              <w:pBdr>
                <w:top w:val="nil"/>
                <w:left w:val="nil"/>
                <w:bottom w:val="nil"/>
                <w:right w:val="nil"/>
                <w:between w:val="nil"/>
              </w:pBdr>
              <w:spacing w:line="276" w:lineRule="auto"/>
              <w:rPr>
                <w:color w:val="000000"/>
                <w:sz w:val="20"/>
                <w:szCs w:val="20"/>
              </w:rPr>
            </w:pPr>
          </w:p>
        </w:tc>
        <w:tc>
          <w:tcPr>
            <w:tcW w:w="7093" w:type="dxa"/>
            <w:tcBorders>
              <w:top w:val="single" w:sz="8" w:space="0" w:color="000000"/>
              <w:bottom w:val="single" w:sz="8" w:space="0" w:color="000000"/>
              <w:right w:val="single" w:sz="8" w:space="0" w:color="000000"/>
            </w:tcBorders>
          </w:tcPr>
          <w:p w14:paraId="24EFE146" w14:textId="77777777" w:rsidR="00D81755" w:rsidRDefault="0073296A">
            <w:pPr>
              <w:rPr>
                <w:color w:val="000000"/>
                <w:sz w:val="20"/>
                <w:szCs w:val="20"/>
              </w:rPr>
            </w:pPr>
            <w:r>
              <w:rPr>
                <w:sz w:val="20"/>
                <w:szCs w:val="20"/>
              </w:rPr>
              <w:t xml:space="preserve">2e) Faculty attend professional society meetings and take part in professional development activities </w:t>
            </w:r>
            <w:proofErr w:type="gramStart"/>
            <w:r>
              <w:rPr>
                <w:sz w:val="20"/>
                <w:szCs w:val="20"/>
              </w:rPr>
              <w:t>in order to</w:t>
            </w:r>
            <w:proofErr w:type="gramEnd"/>
            <w:r>
              <w:rPr>
                <w:sz w:val="20"/>
                <w:szCs w:val="20"/>
              </w:rPr>
              <w:t xml:space="preserve"> keep abreast of current public health issues and maintain currency in their areas of instructional responsibility.</w:t>
            </w:r>
          </w:p>
        </w:tc>
      </w:tr>
      <w:tr w:rsidR="00D81755" w14:paraId="24EFE14A" w14:textId="77777777" w:rsidTr="00A27B70">
        <w:tc>
          <w:tcPr>
            <w:tcW w:w="4263" w:type="dxa"/>
            <w:vMerge/>
            <w:tcBorders>
              <w:top w:val="single" w:sz="8" w:space="0" w:color="000000"/>
              <w:left w:val="single" w:sz="8" w:space="0" w:color="000000"/>
            </w:tcBorders>
          </w:tcPr>
          <w:p w14:paraId="24EFE148" w14:textId="77777777" w:rsidR="00D81755" w:rsidRDefault="00D81755">
            <w:pPr>
              <w:widowControl w:val="0"/>
              <w:pBdr>
                <w:top w:val="nil"/>
                <w:left w:val="nil"/>
                <w:bottom w:val="nil"/>
                <w:right w:val="nil"/>
                <w:between w:val="nil"/>
              </w:pBdr>
              <w:spacing w:line="276" w:lineRule="auto"/>
              <w:rPr>
                <w:color w:val="000000"/>
                <w:sz w:val="20"/>
                <w:szCs w:val="20"/>
              </w:rPr>
            </w:pPr>
          </w:p>
        </w:tc>
        <w:tc>
          <w:tcPr>
            <w:tcW w:w="7093" w:type="dxa"/>
            <w:tcBorders>
              <w:top w:val="single" w:sz="8" w:space="0" w:color="000000"/>
              <w:bottom w:val="single" w:sz="8" w:space="0" w:color="000000"/>
              <w:right w:val="single" w:sz="8" w:space="0" w:color="000000"/>
            </w:tcBorders>
          </w:tcPr>
          <w:p w14:paraId="24EFE149" w14:textId="77777777" w:rsidR="00D81755" w:rsidRDefault="0073296A">
            <w:pPr>
              <w:rPr>
                <w:color w:val="000000"/>
                <w:sz w:val="20"/>
                <w:szCs w:val="20"/>
              </w:rPr>
            </w:pPr>
            <w:r>
              <w:rPr>
                <w:sz w:val="20"/>
                <w:szCs w:val="20"/>
              </w:rPr>
              <w:t xml:space="preserve">2f) The MPH curriculum meets the changing needs of the field.  </w:t>
            </w:r>
          </w:p>
        </w:tc>
      </w:tr>
      <w:tr w:rsidR="00D81755" w14:paraId="24EFE14E" w14:textId="77777777" w:rsidTr="00A27B70">
        <w:tc>
          <w:tcPr>
            <w:tcW w:w="4263" w:type="dxa"/>
            <w:vMerge w:val="restart"/>
            <w:tcBorders>
              <w:top w:val="single" w:sz="8" w:space="0" w:color="000000"/>
              <w:left w:val="single" w:sz="8" w:space="0" w:color="000000"/>
            </w:tcBorders>
          </w:tcPr>
          <w:p w14:paraId="24EFE14B" w14:textId="77777777" w:rsidR="00D81755" w:rsidRDefault="0073296A">
            <w:pPr>
              <w:widowControl w:val="0"/>
              <w:pBdr>
                <w:top w:val="nil"/>
                <w:left w:val="nil"/>
                <w:bottom w:val="nil"/>
                <w:right w:val="nil"/>
                <w:between w:val="nil"/>
              </w:pBdr>
              <w:spacing w:line="265" w:lineRule="auto"/>
              <w:ind w:left="97"/>
              <w:rPr>
                <w:b/>
                <w:bCs/>
                <w:color w:val="000000"/>
                <w:sz w:val="20"/>
                <w:szCs w:val="20"/>
              </w:rPr>
            </w:pPr>
            <w:r>
              <w:rPr>
                <w:b/>
                <w:bCs/>
                <w:color w:val="000000"/>
                <w:sz w:val="20"/>
                <w:szCs w:val="20"/>
              </w:rPr>
              <w:t>GOAL 3: (Scholarship)</w:t>
            </w:r>
          </w:p>
          <w:p w14:paraId="24EFE14C" w14:textId="77777777" w:rsidR="00D81755" w:rsidRDefault="0073296A">
            <w:pPr>
              <w:widowControl w:val="0"/>
              <w:pBdr>
                <w:top w:val="nil"/>
                <w:left w:val="nil"/>
                <w:bottom w:val="nil"/>
                <w:right w:val="nil"/>
                <w:between w:val="nil"/>
              </w:pBdr>
              <w:spacing w:line="265" w:lineRule="auto"/>
              <w:ind w:left="97"/>
              <w:rPr>
                <w:color w:val="000000"/>
                <w:sz w:val="20"/>
                <w:szCs w:val="20"/>
              </w:rPr>
            </w:pPr>
            <w:r>
              <w:rPr>
                <w:b/>
                <w:bCs/>
                <w:color w:val="000000"/>
                <w:sz w:val="20"/>
                <w:szCs w:val="20"/>
              </w:rPr>
              <w:t xml:space="preserve">Advance knowledge in public health through MPH faculty research. </w:t>
            </w:r>
          </w:p>
        </w:tc>
        <w:tc>
          <w:tcPr>
            <w:tcW w:w="7093" w:type="dxa"/>
            <w:tcBorders>
              <w:top w:val="single" w:sz="8" w:space="0" w:color="000000"/>
              <w:bottom w:val="single" w:sz="8" w:space="0" w:color="000000"/>
              <w:right w:val="single" w:sz="8" w:space="0" w:color="000000"/>
            </w:tcBorders>
          </w:tcPr>
          <w:p w14:paraId="24EFE14D" w14:textId="77777777" w:rsidR="00D81755" w:rsidRDefault="0073296A">
            <w:pPr>
              <w:rPr>
                <w:color w:val="000000"/>
                <w:sz w:val="20"/>
                <w:szCs w:val="20"/>
              </w:rPr>
            </w:pPr>
            <w:r>
              <w:rPr>
                <w:sz w:val="20"/>
                <w:szCs w:val="20"/>
              </w:rPr>
              <w:t xml:space="preserve">3a) Faculty research productivity and extramural funding </w:t>
            </w:r>
          </w:p>
        </w:tc>
      </w:tr>
      <w:tr w:rsidR="00D81755" w14:paraId="24EFE151" w14:textId="77777777" w:rsidTr="00A27B70">
        <w:tc>
          <w:tcPr>
            <w:tcW w:w="4263" w:type="dxa"/>
            <w:vMerge/>
            <w:tcBorders>
              <w:top w:val="single" w:sz="8" w:space="0" w:color="000000"/>
              <w:left w:val="single" w:sz="8" w:space="0" w:color="000000"/>
            </w:tcBorders>
          </w:tcPr>
          <w:p w14:paraId="24EFE14F" w14:textId="77777777" w:rsidR="00D81755" w:rsidRDefault="00D81755">
            <w:pPr>
              <w:widowControl w:val="0"/>
              <w:pBdr>
                <w:top w:val="nil"/>
                <w:left w:val="nil"/>
                <w:bottom w:val="nil"/>
                <w:right w:val="nil"/>
                <w:between w:val="nil"/>
              </w:pBdr>
              <w:spacing w:line="276" w:lineRule="auto"/>
              <w:rPr>
                <w:color w:val="000000"/>
                <w:sz w:val="20"/>
                <w:szCs w:val="20"/>
              </w:rPr>
            </w:pPr>
          </w:p>
        </w:tc>
        <w:tc>
          <w:tcPr>
            <w:tcW w:w="7093" w:type="dxa"/>
            <w:tcBorders>
              <w:top w:val="single" w:sz="8" w:space="0" w:color="000000"/>
              <w:bottom w:val="single" w:sz="8" w:space="0" w:color="000000"/>
              <w:right w:val="single" w:sz="8" w:space="0" w:color="000000"/>
            </w:tcBorders>
          </w:tcPr>
          <w:p w14:paraId="24EFE150" w14:textId="77777777" w:rsidR="00D81755" w:rsidRDefault="0073296A">
            <w:pPr>
              <w:rPr>
                <w:color w:val="000000"/>
                <w:sz w:val="20"/>
                <w:szCs w:val="20"/>
              </w:rPr>
            </w:pPr>
            <w:r>
              <w:rPr>
                <w:sz w:val="20"/>
                <w:szCs w:val="20"/>
              </w:rPr>
              <w:t>3b) Faculty scholarly activities including participation in national and international scholarly organizations related to public health.</w:t>
            </w:r>
          </w:p>
        </w:tc>
      </w:tr>
      <w:tr w:rsidR="00D81755" w14:paraId="24EFE156" w14:textId="77777777" w:rsidTr="00A27B70">
        <w:tc>
          <w:tcPr>
            <w:tcW w:w="4263" w:type="dxa"/>
            <w:vMerge w:val="restart"/>
            <w:tcBorders>
              <w:top w:val="single" w:sz="8" w:space="0" w:color="000000"/>
              <w:left w:val="single" w:sz="8" w:space="0" w:color="000000"/>
              <w:bottom w:val="single" w:sz="4" w:space="0" w:color="000000"/>
            </w:tcBorders>
          </w:tcPr>
          <w:p w14:paraId="24EFE152" w14:textId="77777777" w:rsidR="00D81755" w:rsidRDefault="0073296A">
            <w:pPr>
              <w:widowControl w:val="0"/>
              <w:pBdr>
                <w:top w:val="nil"/>
                <w:left w:val="nil"/>
                <w:bottom w:val="nil"/>
                <w:right w:val="nil"/>
                <w:between w:val="nil"/>
              </w:pBdr>
              <w:spacing w:line="264" w:lineRule="auto"/>
              <w:ind w:left="97"/>
              <w:rPr>
                <w:color w:val="000000"/>
                <w:sz w:val="20"/>
                <w:szCs w:val="20"/>
              </w:rPr>
            </w:pPr>
            <w:r>
              <w:rPr>
                <w:b/>
                <w:bCs/>
                <w:color w:val="000000"/>
                <w:sz w:val="20"/>
                <w:szCs w:val="20"/>
              </w:rPr>
              <w:t>GOAL 4: (Scholarship)</w:t>
            </w:r>
          </w:p>
          <w:p w14:paraId="24EFE153" w14:textId="77777777" w:rsidR="00D81755" w:rsidRDefault="0073296A">
            <w:pPr>
              <w:spacing w:line="265" w:lineRule="auto"/>
              <w:ind w:left="97"/>
              <w:rPr>
                <w:b/>
                <w:bCs/>
                <w:sz w:val="20"/>
                <w:szCs w:val="20"/>
              </w:rPr>
            </w:pPr>
            <w:r>
              <w:rPr>
                <w:b/>
                <w:bCs/>
                <w:sz w:val="20"/>
                <w:szCs w:val="20"/>
              </w:rPr>
              <w:t>Actively involve students in scholarly endeavors.</w:t>
            </w:r>
          </w:p>
        </w:tc>
        <w:tc>
          <w:tcPr>
            <w:tcW w:w="7093" w:type="dxa"/>
            <w:tcBorders>
              <w:top w:val="single" w:sz="8" w:space="0" w:color="000000"/>
              <w:bottom w:val="single" w:sz="8" w:space="0" w:color="000000"/>
              <w:right w:val="single" w:sz="8" w:space="0" w:color="000000"/>
            </w:tcBorders>
          </w:tcPr>
          <w:p w14:paraId="24EFE154" w14:textId="77777777" w:rsidR="00D81755" w:rsidRDefault="0073296A">
            <w:pPr>
              <w:widowControl w:val="0"/>
              <w:pBdr>
                <w:top w:val="nil"/>
                <w:left w:val="nil"/>
                <w:bottom w:val="nil"/>
                <w:right w:val="nil"/>
                <w:between w:val="nil"/>
              </w:pBdr>
              <w:spacing w:line="251" w:lineRule="auto"/>
              <w:rPr>
                <w:color w:val="000000"/>
                <w:sz w:val="20"/>
                <w:szCs w:val="20"/>
              </w:rPr>
            </w:pPr>
            <w:r>
              <w:rPr>
                <w:color w:val="000000"/>
                <w:sz w:val="20"/>
                <w:szCs w:val="20"/>
              </w:rPr>
              <w:t>4a) Student participation in scholarly research activities.</w:t>
            </w:r>
          </w:p>
          <w:p w14:paraId="24EFE155" w14:textId="77777777" w:rsidR="00D81755" w:rsidRDefault="0073296A">
            <w:pPr>
              <w:rPr>
                <w:color w:val="000000"/>
                <w:sz w:val="20"/>
                <w:szCs w:val="20"/>
              </w:rPr>
            </w:pPr>
            <w:r>
              <w:rPr>
                <w:sz w:val="20"/>
                <w:szCs w:val="20"/>
              </w:rPr>
              <w:t>Practicums for our MPH students.</w:t>
            </w:r>
          </w:p>
        </w:tc>
      </w:tr>
      <w:tr w:rsidR="00D81755" w14:paraId="24EFE159" w14:textId="77777777" w:rsidTr="00A27B70">
        <w:tc>
          <w:tcPr>
            <w:tcW w:w="4263" w:type="dxa"/>
            <w:vMerge/>
            <w:tcBorders>
              <w:top w:val="single" w:sz="8" w:space="0" w:color="000000"/>
              <w:left w:val="single" w:sz="8" w:space="0" w:color="000000"/>
              <w:bottom w:val="single" w:sz="4" w:space="0" w:color="000000"/>
            </w:tcBorders>
          </w:tcPr>
          <w:p w14:paraId="24EFE157" w14:textId="77777777" w:rsidR="00D81755" w:rsidRDefault="00D81755">
            <w:pPr>
              <w:widowControl w:val="0"/>
              <w:pBdr>
                <w:top w:val="nil"/>
                <w:left w:val="nil"/>
                <w:bottom w:val="nil"/>
                <w:right w:val="nil"/>
                <w:between w:val="nil"/>
              </w:pBdr>
              <w:spacing w:line="276" w:lineRule="auto"/>
              <w:rPr>
                <w:color w:val="000000"/>
                <w:sz w:val="20"/>
                <w:szCs w:val="20"/>
              </w:rPr>
            </w:pPr>
          </w:p>
        </w:tc>
        <w:tc>
          <w:tcPr>
            <w:tcW w:w="7093" w:type="dxa"/>
            <w:tcBorders>
              <w:top w:val="single" w:sz="8" w:space="0" w:color="000000"/>
              <w:bottom w:val="single" w:sz="8" w:space="0" w:color="000000"/>
              <w:right w:val="single" w:sz="8" w:space="0" w:color="000000"/>
            </w:tcBorders>
          </w:tcPr>
          <w:p w14:paraId="24EFE158" w14:textId="77777777" w:rsidR="00D81755" w:rsidRDefault="0073296A">
            <w:pPr>
              <w:rPr>
                <w:color w:val="000000"/>
                <w:sz w:val="20"/>
                <w:szCs w:val="20"/>
              </w:rPr>
            </w:pPr>
            <w:r>
              <w:rPr>
                <w:sz w:val="20"/>
                <w:szCs w:val="20"/>
              </w:rPr>
              <w:t xml:space="preserve">4b) Student participation in presentations at scientific and service-related conferences.  </w:t>
            </w:r>
          </w:p>
        </w:tc>
      </w:tr>
      <w:tr w:rsidR="00D81755" w14:paraId="24EFE15C" w14:textId="77777777" w:rsidTr="00A27B70">
        <w:tc>
          <w:tcPr>
            <w:tcW w:w="4263" w:type="dxa"/>
            <w:vMerge w:val="restart"/>
            <w:tcBorders>
              <w:top w:val="single" w:sz="4" w:space="0" w:color="000000"/>
              <w:left w:val="single" w:sz="8" w:space="0" w:color="000000"/>
            </w:tcBorders>
          </w:tcPr>
          <w:p w14:paraId="24EFE15A" w14:textId="77777777" w:rsidR="00D81755" w:rsidRDefault="0073296A">
            <w:pPr>
              <w:spacing w:line="264" w:lineRule="auto"/>
              <w:ind w:left="97"/>
              <w:rPr>
                <w:b/>
                <w:bCs/>
                <w:sz w:val="20"/>
                <w:szCs w:val="20"/>
              </w:rPr>
            </w:pPr>
            <w:r>
              <w:rPr>
                <w:b/>
                <w:bCs/>
                <w:sz w:val="20"/>
                <w:szCs w:val="20"/>
              </w:rPr>
              <w:t>GOAL 5: (Service) Participation in service activities designed to meet the current needs and priorities of public health-based community partners by students and faculty.</w:t>
            </w:r>
          </w:p>
        </w:tc>
        <w:tc>
          <w:tcPr>
            <w:tcW w:w="7093" w:type="dxa"/>
            <w:tcBorders>
              <w:top w:val="single" w:sz="8" w:space="0" w:color="000000"/>
              <w:bottom w:val="single" w:sz="8" w:space="0" w:color="000000"/>
              <w:right w:val="single" w:sz="8" w:space="0" w:color="000000"/>
            </w:tcBorders>
          </w:tcPr>
          <w:p w14:paraId="24EFE15B" w14:textId="77777777" w:rsidR="00D81755" w:rsidRDefault="0073296A">
            <w:pPr>
              <w:rPr>
                <w:sz w:val="20"/>
                <w:szCs w:val="20"/>
              </w:rPr>
            </w:pPr>
            <w:r>
              <w:rPr>
                <w:sz w:val="20"/>
                <w:szCs w:val="20"/>
              </w:rPr>
              <w:t>5a) Identify the needs and priorities of current and new service partnerships of public health-based community organizations and governmental public health agencies.</w:t>
            </w:r>
          </w:p>
        </w:tc>
      </w:tr>
      <w:tr w:rsidR="00D81755" w14:paraId="24EFE15F" w14:textId="77777777" w:rsidTr="00A27B70">
        <w:tc>
          <w:tcPr>
            <w:tcW w:w="4263" w:type="dxa"/>
            <w:vMerge/>
            <w:tcBorders>
              <w:top w:val="single" w:sz="4" w:space="0" w:color="000000"/>
              <w:left w:val="single" w:sz="8" w:space="0" w:color="000000"/>
            </w:tcBorders>
          </w:tcPr>
          <w:p w14:paraId="24EFE15D" w14:textId="77777777" w:rsidR="00D81755" w:rsidRDefault="00D81755">
            <w:pPr>
              <w:widowControl w:val="0"/>
              <w:pBdr>
                <w:top w:val="nil"/>
                <w:left w:val="nil"/>
                <w:bottom w:val="nil"/>
                <w:right w:val="nil"/>
                <w:between w:val="nil"/>
              </w:pBdr>
              <w:spacing w:line="276" w:lineRule="auto"/>
              <w:rPr>
                <w:sz w:val="20"/>
                <w:szCs w:val="20"/>
              </w:rPr>
            </w:pPr>
          </w:p>
        </w:tc>
        <w:tc>
          <w:tcPr>
            <w:tcW w:w="7093" w:type="dxa"/>
            <w:tcBorders>
              <w:top w:val="single" w:sz="8" w:space="0" w:color="000000"/>
              <w:bottom w:val="single" w:sz="8" w:space="0" w:color="000000"/>
              <w:right w:val="single" w:sz="8" w:space="0" w:color="000000"/>
            </w:tcBorders>
          </w:tcPr>
          <w:p w14:paraId="24EFE15E" w14:textId="77777777" w:rsidR="00D81755" w:rsidRDefault="0073296A">
            <w:pPr>
              <w:widowControl w:val="0"/>
              <w:pBdr>
                <w:top w:val="nil"/>
                <w:left w:val="nil"/>
                <w:bottom w:val="nil"/>
                <w:right w:val="nil"/>
                <w:between w:val="nil"/>
              </w:pBdr>
              <w:spacing w:line="253" w:lineRule="auto"/>
              <w:rPr>
                <w:color w:val="000000"/>
                <w:sz w:val="20"/>
                <w:szCs w:val="20"/>
              </w:rPr>
            </w:pPr>
            <w:r>
              <w:rPr>
                <w:color w:val="000000"/>
                <w:sz w:val="20"/>
                <w:szCs w:val="20"/>
              </w:rPr>
              <w:t xml:space="preserve">5b) Meet the service needs and priorities of public health-based community organizations and governmental public health agencies through high-quality partnerships with faculty, staff, and students. </w:t>
            </w:r>
          </w:p>
        </w:tc>
      </w:tr>
      <w:tr w:rsidR="00D81755" w14:paraId="24EFE162" w14:textId="77777777" w:rsidTr="00A27B70">
        <w:tc>
          <w:tcPr>
            <w:tcW w:w="4263" w:type="dxa"/>
            <w:vMerge/>
            <w:tcBorders>
              <w:top w:val="single" w:sz="4" w:space="0" w:color="000000"/>
              <w:left w:val="single" w:sz="8" w:space="0" w:color="000000"/>
            </w:tcBorders>
          </w:tcPr>
          <w:p w14:paraId="24EFE160" w14:textId="77777777" w:rsidR="00D81755" w:rsidRDefault="00D81755">
            <w:pPr>
              <w:widowControl w:val="0"/>
              <w:pBdr>
                <w:top w:val="nil"/>
                <w:left w:val="nil"/>
                <w:bottom w:val="nil"/>
                <w:right w:val="nil"/>
                <w:between w:val="nil"/>
              </w:pBdr>
              <w:spacing w:line="276" w:lineRule="auto"/>
              <w:rPr>
                <w:color w:val="000000"/>
                <w:sz w:val="20"/>
                <w:szCs w:val="20"/>
              </w:rPr>
            </w:pPr>
          </w:p>
        </w:tc>
        <w:tc>
          <w:tcPr>
            <w:tcW w:w="7093" w:type="dxa"/>
            <w:tcBorders>
              <w:top w:val="single" w:sz="8" w:space="0" w:color="000000"/>
              <w:bottom w:val="single" w:sz="8" w:space="0" w:color="000000"/>
              <w:right w:val="single" w:sz="8" w:space="0" w:color="000000"/>
            </w:tcBorders>
          </w:tcPr>
          <w:p w14:paraId="24EFE161" w14:textId="77777777" w:rsidR="00D81755" w:rsidRDefault="0073296A">
            <w:pPr>
              <w:widowControl w:val="0"/>
              <w:pBdr>
                <w:top w:val="nil"/>
                <w:left w:val="nil"/>
                <w:bottom w:val="nil"/>
                <w:right w:val="nil"/>
                <w:between w:val="nil"/>
              </w:pBdr>
              <w:spacing w:line="253" w:lineRule="auto"/>
              <w:rPr>
                <w:color w:val="000000"/>
                <w:sz w:val="20"/>
                <w:szCs w:val="20"/>
              </w:rPr>
            </w:pPr>
            <w:r>
              <w:rPr>
                <w:color w:val="000000"/>
                <w:sz w:val="20"/>
                <w:szCs w:val="20"/>
              </w:rPr>
              <w:t>5c) Faculty provide their expertise to meet public health-related service needs and priorities of community partners including engaging and supervising students in activities that support the mission of collaborating organizations.</w:t>
            </w:r>
          </w:p>
        </w:tc>
      </w:tr>
      <w:tr w:rsidR="00D81755" w14:paraId="24EFE165" w14:textId="77777777" w:rsidTr="00A27B70">
        <w:tc>
          <w:tcPr>
            <w:tcW w:w="4263" w:type="dxa"/>
            <w:tcBorders>
              <w:left w:val="single" w:sz="8" w:space="0" w:color="000000"/>
            </w:tcBorders>
          </w:tcPr>
          <w:p w14:paraId="24EFE163" w14:textId="77777777" w:rsidR="00D81755" w:rsidRDefault="0073296A">
            <w:pPr>
              <w:spacing w:line="264" w:lineRule="auto"/>
              <w:ind w:left="97"/>
              <w:rPr>
                <w:b/>
                <w:bCs/>
                <w:sz w:val="20"/>
                <w:szCs w:val="20"/>
              </w:rPr>
            </w:pPr>
            <w:r>
              <w:rPr>
                <w:b/>
                <w:bCs/>
                <w:sz w:val="20"/>
                <w:szCs w:val="20"/>
              </w:rPr>
              <w:t>GOAL 6: (Service) Serve the continuing education needs of the public health workforce.</w:t>
            </w:r>
          </w:p>
        </w:tc>
        <w:tc>
          <w:tcPr>
            <w:tcW w:w="7093" w:type="dxa"/>
            <w:tcBorders>
              <w:top w:val="single" w:sz="8" w:space="0" w:color="000000"/>
              <w:bottom w:val="single" w:sz="8" w:space="0" w:color="000000"/>
              <w:right w:val="single" w:sz="8" w:space="0" w:color="000000"/>
            </w:tcBorders>
          </w:tcPr>
          <w:p w14:paraId="24EFE164" w14:textId="77777777" w:rsidR="00D81755" w:rsidRDefault="0073296A">
            <w:pPr>
              <w:widowControl w:val="0"/>
              <w:pBdr>
                <w:top w:val="nil"/>
                <w:left w:val="nil"/>
                <w:bottom w:val="nil"/>
                <w:right w:val="nil"/>
                <w:between w:val="nil"/>
              </w:pBdr>
              <w:spacing w:before="4"/>
              <w:rPr>
                <w:color w:val="000000"/>
                <w:sz w:val="20"/>
                <w:szCs w:val="20"/>
              </w:rPr>
            </w:pPr>
            <w:r>
              <w:rPr>
                <w:color w:val="000000"/>
                <w:sz w:val="20"/>
                <w:szCs w:val="20"/>
              </w:rPr>
              <w:t>6a) Educate the current public health workforce, including employees of the Suffolk County Department of Health Services, the Nassau County Department of Health and public health-related non-governmental organizations (NGOs).</w:t>
            </w:r>
          </w:p>
        </w:tc>
      </w:tr>
      <w:tr w:rsidR="00D81755" w14:paraId="24EFE168" w14:textId="77777777" w:rsidTr="00A27B70">
        <w:tc>
          <w:tcPr>
            <w:tcW w:w="4263" w:type="dxa"/>
            <w:tcBorders>
              <w:left w:val="single" w:sz="8" w:space="0" w:color="000000"/>
            </w:tcBorders>
          </w:tcPr>
          <w:p w14:paraId="24EFE166" w14:textId="77777777" w:rsidR="00D81755" w:rsidRDefault="00D81755">
            <w:pPr>
              <w:spacing w:line="264" w:lineRule="auto"/>
              <w:ind w:left="97"/>
              <w:rPr>
                <w:b/>
                <w:bCs/>
                <w:sz w:val="20"/>
                <w:szCs w:val="20"/>
              </w:rPr>
            </w:pPr>
          </w:p>
        </w:tc>
        <w:tc>
          <w:tcPr>
            <w:tcW w:w="7093" w:type="dxa"/>
            <w:tcBorders>
              <w:top w:val="single" w:sz="8" w:space="0" w:color="000000"/>
              <w:bottom w:val="single" w:sz="8" w:space="0" w:color="000000"/>
              <w:right w:val="single" w:sz="8" w:space="0" w:color="000000"/>
            </w:tcBorders>
          </w:tcPr>
          <w:p w14:paraId="24EFE167" w14:textId="77777777" w:rsidR="00D81755" w:rsidRDefault="0073296A">
            <w:pPr>
              <w:widowControl w:val="0"/>
              <w:pBdr>
                <w:top w:val="nil"/>
                <w:left w:val="nil"/>
                <w:bottom w:val="nil"/>
                <w:right w:val="nil"/>
                <w:between w:val="nil"/>
              </w:pBdr>
              <w:spacing w:before="4"/>
              <w:rPr>
                <w:color w:val="000000"/>
                <w:sz w:val="20"/>
                <w:szCs w:val="20"/>
              </w:rPr>
            </w:pPr>
            <w:r>
              <w:rPr>
                <w:color w:val="000000"/>
                <w:sz w:val="20"/>
                <w:szCs w:val="20"/>
              </w:rPr>
              <w:t xml:space="preserve">6b) Professional development opportunities for the regional public health workforce including </w:t>
            </w:r>
            <w:proofErr w:type="gramStart"/>
            <w:r>
              <w:rPr>
                <w:color w:val="000000"/>
                <w:sz w:val="20"/>
                <w:szCs w:val="20"/>
              </w:rPr>
              <w:t>trainings</w:t>
            </w:r>
            <w:proofErr w:type="gramEnd"/>
            <w:r>
              <w:rPr>
                <w:color w:val="000000"/>
                <w:sz w:val="20"/>
                <w:szCs w:val="20"/>
              </w:rPr>
              <w:t xml:space="preserve"> with the Center for Public Health Education, the Long Island Health Collaborative members, and the Suffolk Cooperative Library System.</w:t>
            </w:r>
          </w:p>
        </w:tc>
      </w:tr>
      <w:tr w:rsidR="00D81755" w14:paraId="24EFE16B" w14:textId="77777777" w:rsidTr="00A27B70">
        <w:tc>
          <w:tcPr>
            <w:tcW w:w="4263" w:type="dxa"/>
            <w:vMerge w:val="restart"/>
            <w:tcBorders>
              <w:left w:val="single" w:sz="8" w:space="0" w:color="000000"/>
            </w:tcBorders>
          </w:tcPr>
          <w:p w14:paraId="24EFE169" w14:textId="77777777" w:rsidR="00D81755" w:rsidRDefault="0073296A">
            <w:pPr>
              <w:spacing w:line="264" w:lineRule="auto"/>
              <w:ind w:left="97"/>
              <w:rPr>
                <w:b/>
                <w:bCs/>
                <w:sz w:val="20"/>
                <w:szCs w:val="20"/>
              </w:rPr>
            </w:pPr>
            <w:r>
              <w:rPr>
                <w:b/>
                <w:bCs/>
                <w:sz w:val="20"/>
                <w:szCs w:val="20"/>
              </w:rPr>
              <w:t>GOAL 7: (Diversity, inclusion, cultural competence and equity) Foster a meaningful sense of cultural competence in our students, faculty, and staff.</w:t>
            </w:r>
          </w:p>
        </w:tc>
        <w:tc>
          <w:tcPr>
            <w:tcW w:w="7093" w:type="dxa"/>
            <w:tcBorders>
              <w:top w:val="single" w:sz="8" w:space="0" w:color="000000"/>
              <w:bottom w:val="single" w:sz="8" w:space="0" w:color="000000"/>
              <w:right w:val="single" w:sz="8" w:space="0" w:color="000000"/>
            </w:tcBorders>
          </w:tcPr>
          <w:p w14:paraId="24EFE16A" w14:textId="77777777" w:rsidR="00D81755" w:rsidRDefault="0073296A">
            <w:pPr>
              <w:widowControl w:val="0"/>
              <w:pBdr>
                <w:top w:val="nil"/>
                <w:left w:val="nil"/>
                <w:bottom w:val="nil"/>
                <w:right w:val="nil"/>
                <w:between w:val="nil"/>
              </w:pBdr>
              <w:spacing w:before="4"/>
              <w:rPr>
                <w:color w:val="000000"/>
                <w:sz w:val="20"/>
                <w:szCs w:val="20"/>
              </w:rPr>
            </w:pPr>
            <w:r>
              <w:rPr>
                <w:color w:val="000000"/>
                <w:sz w:val="20"/>
                <w:szCs w:val="20"/>
              </w:rPr>
              <w:t>8a) The MPH curriculum instills awareness and sensitivity to the cultural differences between populations, especially underserved populations.</w:t>
            </w:r>
          </w:p>
        </w:tc>
      </w:tr>
      <w:tr w:rsidR="00D81755" w14:paraId="24EFE16E" w14:textId="77777777" w:rsidTr="00A27B70">
        <w:tc>
          <w:tcPr>
            <w:tcW w:w="4263" w:type="dxa"/>
            <w:vMerge/>
            <w:tcBorders>
              <w:left w:val="single" w:sz="8" w:space="0" w:color="000000"/>
            </w:tcBorders>
          </w:tcPr>
          <w:p w14:paraId="24EFE16C" w14:textId="77777777" w:rsidR="00D81755" w:rsidRDefault="00D81755">
            <w:pPr>
              <w:widowControl w:val="0"/>
              <w:pBdr>
                <w:top w:val="nil"/>
                <w:left w:val="nil"/>
                <w:bottom w:val="nil"/>
                <w:right w:val="nil"/>
                <w:between w:val="nil"/>
              </w:pBdr>
              <w:spacing w:line="276" w:lineRule="auto"/>
              <w:rPr>
                <w:color w:val="000000"/>
                <w:sz w:val="20"/>
                <w:szCs w:val="20"/>
              </w:rPr>
            </w:pPr>
          </w:p>
        </w:tc>
        <w:tc>
          <w:tcPr>
            <w:tcW w:w="7093" w:type="dxa"/>
            <w:tcBorders>
              <w:top w:val="single" w:sz="8" w:space="0" w:color="000000"/>
              <w:bottom w:val="single" w:sz="8" w:space="0" w:color="000000"/>
              <w:right w:val="single" w:sz="8" w:space="0" w:color="000000"/>
            </w:tcBorders>
          </w:tcPr>
          <w:p w14:paraId="24EFE16D" w14:textId="77777777" w:rsidR="00D81755" w:rsidRDefault="0073296A">
            <w:pPr>
              <w:widowControl w:val="0"/>
              <w:pBdr>
                <w:top w:val="nil"/>
                <w:left w:val="nil"/>
                <w:bottom w:val="nil"/>
                <w:right w:val="nil"/>
                <w:between w:val="nil"/>
              </w:pBdr>
              <w:spacing w:line="253" w:lineRule="auto"/>
              <w:rPr>
                <w:color w:val="000000"/>
                <w:sz w:val="20"/>
                <w:szCs w:val="20"/>
              </w:rPr>
            </w:pPr>
            <w:r>
              <w:rPr>
                <w:color w:val="000000"/>
                <w:sz w:val="20"/>
                <w:szCs w:val="20"/>
              </w:rPr>
              <w:t>8b) Students’ service and research efforts are informed by best practices regarding cultural competence.</w:t>
            </w:r>
          </w:p>
        </w:tc>
      </w:tr>
      <w:tr w:rsidR="00D81755" w14:paraId="24EFE171" w14:textId="77777777" w:rsidTr="00A27B70">
        <w:tc>
          <w:tcPr>
            <w:tcW w:w="4263" w:type="dxa"/>
            <w:vMerge/>
            <w:tcBorders>
              <w:left w:val="single" w:sz="8" w:space="0" w:color="000000"/>
            </w:tcBorders>
          </w:tcPr>
          <w:p w14:paraId="24EFE16F" w14:textId="77777777" w:rsidR="00D81755" w:rsidRDefault="00D81755">
            <w:pPr>
              <w:widowControl w:val="0"/>
              <w:pBdr>
                <w:top w:val="nil"/>
                <w:left w:val="nil"/>
                <w:bottom w:val="nil"/>
                <w:right w:val="nil"/>
                <w:between w:val="nil"/>
              </w:pBdr>
              <w:spacing w:line="276" w:lineRule="auto"/>
              <w:rPr>
                <w:color w:val="000000"/>
                <w:sz w:val="20"/>
                <w:szCs w:val="20"/>
              </w:rPr>
            </w:pPr>
          </w:p>
        </w:tc>
        <w:tc>
          <w:tcPr>
            <w:tcW w:w="7093" w:type="dxa"/>
            <w:tcBorders>
              <w:top w:val="single" w:sz="8" w:space="0" w:color="000000"/>
              <w:bottom w:val="single" w:sz="8" w:space="0" w:color="000000"/>
              <w:right w:val="single" w:sz="8" w:space="0" w:color="000000"/>
            </w:tcBorders>
          </w:tcPr>
          <w:p w14:paraId="24EFE170" w14:textId="77777777" w:rsidR="00D81755" w:rsidRDefault="0073296A">
            <w:pPr>
              <w:spacing w:before="4"/>
              <w:rPr>
                <w:sz w:val="20"/>
                <w:szCs w:val="20"/>
              </w:rPr>
            </w:pPr>
            <w:r>
              <w:rPr>
                <w:sz w:val="20"/>
                <w:szCs w:val="20"/>
              </w:rPr>
              <w:t>8c) Students, faculty and staff participate in professional development activities that foster cultural competence.</w:t>
            </w:r>
          </w:p>
        </w:tc>
      </w:tr>
    </w:tbl>
    <w:p w14:paraId="24EFE172" w14:textId="77777777" w:rsidR="00D81755" w:rsidRDefault="00D81755">
      <w:pPr>
        <w:spacing w:after="182"/>
      </w:pPr>
    </w:p>
    <w:p w14:paraId="24EFE173" w14:textId="77777777" w:rsidR="00D81755" w:rsidRDefault="00D81755">
      <w:pPr>
        <w:spacing w:after="182"/>
      </w:pPr>
    </w:p>
    <w:tbl>
      <w:tblPr>
        <w:tblStyle w:val="a0"/>
        <w:tblW w:w="11356" w:type="dxa"/>
        <w:tblInd w:w="0" w:type="dxa"/>
        <w:tblBorders>
          <w:top w:val="single" w:sz="8" w:space="0" w:color="000000"/>
          <w:left w:val="single" w:sz="8" w:space="0" w:color="000000"/>
          <w:bottom w:val="single" w:sz="8" w:space="0" w:color="000000"/>
          <w:right w:val="single" w:sz="8" w:space="0" w:color="000000"/>
        </w:tblBorders>
        <w:tblLayout w:type="fixed"/>
        <w:tblLook w:val="0420" w:firstRow="1" w:lastRow="0" w:firstColumn="0" w:lastColumn="0" w:noHBand="0" w:noVBand="1"/>
      </w:tblPr>
      <w:tblGrid>
        <w:gridCol w:w="5768"/>
        <w:gridCol w:w="5588"/>
      </w:tblGrid>
      <w:tr w:rsidR="00D81755" w14:paraId="24EFE175" w14:textId="77777777" w:rsidTr="00A27B70">
        <w:trPr>
          <w:trHeight w:val="336"/>
        </w:trPr>
        <w:tc>
          <w:tcPr>
            <w:tcW w:w="11356" w:type="dxa"/>
            <w:gridSpan w:val="2"/>
            <w:shd w:val="clear" w:color="auto" w:fill="FFFFFF"/>
          </w:tcPr>
          <w:p w14:paraId="24EFE174" w14:textId="77777777" w:rsidR="00D81755" w:rsidRDefault="0073296A">
            <w:pPr>
              <w:rPr>
                <w:b/>
                <w:bCs/>
                <w:color w:val="FFFFFF"/>
                <w:sz w:val="20"/>
                <w:szCs w:val="20"/>
              </w:rPr>
            </w:pPr>
            <w:r>
              <w:rPr>
                <w:b/>
                <w:bCs/>
                <w:sz w:val="20"/>
                <w:szCs w:val="20"/>
              </w:rPr>
              <w:lastRenderedPageBreak/>
              <w:t xml:space="preserve">Table 2 Goal Statements and Measurable Objectives for the Master of Health Administration </w:t>
            </w:r>
          </w:p>
        </w:tc>
      </w:tr>
      <w:tr w:rsidR="00D81755" w14:paraId="24EFE178" w14:textId="77777777" w:rsidTr="00A27B70">
        <w:trPr>
          <w:trHeight w:val="270"/>
        </w:trPr>
        <w:tc>
          <w:tcPr>
            <w:tcW w:w="5768" w:type="dxa"/>
            <w:shd w:val="clear" w:color="auto" w:fill="000000"/>
          </w:tcPr>
          <w:p w14:paraId="24EFE176" w14:textId="77777777" w:rsidR="00D81755" w:rsidRDefault="0073296A">
            <w:pPr>
              <w:rPr>
                <w:b/>
                <w:bCs/>
                <w:color w:val="FFFFFF"/>
                <w:sz w:val="20"/>
                <w:szCs w:val="20"/>
              </w:rPr>
            </w:pPr>
            <w:r>
              <w:rPr>
                <w:b/>
                <w:bCs/>
                <w:color w:val="FFFFFF"/>
                <w:sz w:val="20"/>
                <w:szCs w:val="20"/>
              </w:rPr>
              <w:t>Goal</w:t>
            </w:r>
          </w:p>
        </w:tc>
        <w:tc>
          <w:tcPr>
            <w:tcW w:w="5588" w:type="dxa"/>
            <w:shd w:val="clear" w:color="auto" w:fill="000000"/>
          </w:tcPr>
          <w:p w14:paraId="24EFE177" w14:textId="77777777" w:rsidR="00D81755" w:rsidRDefault="0073296A">
            <w:pPr>
              <w:rPr>
                <w:b/>
                <w:bCs/>
                <w:color w:val="FFFFFF"/>
                <w:sz w:val="20"/>
                <w:szCs w:val="20"/>
              </w:rPr>
            </w:pPr>
            <w:r>
              <w:rPr>
                <w:b/>
                <w:bCs/>
                <w:color w:val="FFFFFF"/>
                <w:sz w:val="20"/>
                <w:szCs w:val="20"/>
              </w:rPr>
              <w:t>Objectives</w:t>
            </w:r>
          </w:p>
        </w:tc>
      </w:tr>
      <w:tr w:rsidR="00D81755" w14:paraId="24EFE17E" w14:textId="77777777" w:rsidTr="00A27B70">
        <w:trPr>
          <w:trHeight w:val="20"/>
        </w:trPr>
        <w:tc>
          <w:tcPr>
            <w:tcW w:w="5768" w:type="dxa"/>
            <w:tcBorders>
              <w:top w:val="single" w:sz="8" w:space="0" w:color="000000"/>
              <w:left w:val="single" w:sz="8" w:space="0" w:color="000000"/>
            </w:tcBorders>
            <w:shd w:val="clear" w:color="auto" w:fill="FFFFFF"/>
            <w:vAlign w:val="center"/>
          </w:tcPr>
          <w:p w14:paraId="24EFE179" w14:textId="77777777" w:rsidR="00D81755" w:rsidRDefault="0073296A">
            <w:pPr>
              <w:rPr>
                <w:b/>
                <w:bCs/>
                <w:color w:val="000000"/>
                <w:sz w:val="20"/>
                <w:szCs w:val="20"/>
              </w:rPr>
            </w:pPr>
            <w:r>
              <w:rPr>
                <w:b/>
                <w:bCs/>
                <w:color w:val="000000"/>
                <w:sz w:val="20"/>
                <w:szCs w:val="20"/>
              </w:rPr>
              <w:t xml:space="preserve">GOAL 1: </w:t>
            </w:r>
            <w:r>
              <w:rPr>
                <w:b/>
                <w:bCs/>
                <w:sz w:val="20"/>
                <w:szCs w:val="20"/>
              </w:rPr>
              <w:t>The MHA Program admits and retains highly qualified students.</w:t>
            </w:r>
          </w:p>
        </w:tc>
        <w:tc>
          <w:tcPr>
            <w:tcW w:w="5588" w:type="dxa"/>
            <w:tcBorders>
              <w:top w:val="single" w:sz="8" w:space="0" w:color="000000"/>
              <w:bottom w:val="single" w:sz="8" w:space="0" w:color="000000"/>
              <w:right w:val="single" w:sz="8" w:space="0" w:color="000000"/>
            </w:tcBorders>
            <w:shd w:val="clear" w:color="auto" w:fill="FFFFFF"/>
          </w:tcPr>
          <w:p w14:paraId="24EFE17A" w14:textId="77777777" w:rsidR="00D81755" w:rsidRDefault="0073296A">
            <w:pPr>
              <w:rPr>
                <w:sz w:val="20"/>
                <w:szCs w:val="20"/>
              </w:rPr>
            </w:pPr>
            <w:r>
              <w:rPr>
                <w:color w:val="000000"/>
                <w:sz w:val="20"/>
                <w:szCs w:val="20"/>
              </w:rPr>
              <w:t xml:space="preserve">1.a. </w:t>
            </w:r>
            <w:r>
              <w:rPr>
                <w:sz w:val="20"/>
                <w:szCs w:val="20"/>
              </w:rPr>
              <w:t>80% of students have a minimum grade point average (GPA) of 3.0 or greater in their undergraduate degree or previous graduate or educational program.</w:t>
            </w:r>
          </w:p>
          <w:p w14:paraId="24EFE17B" w14:textId="77777777" w:rsidR="00D81755" w:rsidRDefault="0073296A">
            <w:pPr>
              <w:rPr>
                <w:sz w:val="20"/>
                <w:szCs w:val="20"/>
              </w:rPr>
            </w:pPr>
            <w:r>
              <w:rPr>
                <w:sz w:val="20"/>
                <w:szCs w:val="20"/>
              </w:rPr>
              <w:t>2a. 90% of students provide evidence of a demonstrated commitment to the health services field, as demonstrated through relevant work, internship, or volunteer experience, or justified within their personal statement.</w:t>
            </w:r>
          </w:p>
          <w:p w14:paraId="24EFE17C" w14:textId="77777777" w:rsidR="00D81755" w:rsidRDefault="0073296A">
            <w:pPr>
              <w:spacing w:line="276" w:lineRule="auto"/>
              <w:rPr>
                <w:sz w:val="20"/>
                <w:szCs w:val="20"/>
              </w:rPr>
            </w:pPr>
            <w:r>
              <w:rPr>
                <w:sz w:val="20"/>
                <w:szCs w:val="20"/>
              </w:rPr>
              <w:t>3a. The Program maintains a retention rate of at least 80% per incoming class.</w:t>
            </w:r>
          </w:p>
          <w:p w14:paraId="24EFE17D" w14:textId="77777777" w:rsidR="00D81755" w:rsidRDefault="0073296A">
            <w:pPr>
              <w:spacing w:line="276" w:lineRule="auto"/>
              <w:rPr>
                <w:sz w:val="20"/>
                <w:szCs w:val="20"/>
              </w:rPr>
            </w:pPr>
            <w:r>
              <w:rPr>
                <w:sz w:val="20"/>
                <w:szCs w:val="20"/>
              </w:rPr>
              <w:t xml:space="preserve">4a. At least 15% of students have a clinical background to foster interprofessional interaction opportunities. </w:t>
            </w:r>
          </w:p>
        </w:tc>
      </w:tr>
      <w:tr w:rsidR="00D81755" w14:paraId="24EFE185" w14:textId="77777777" w:rsidTr="00A27B70">
        <w:trPr>
          <w:trHeight w:val="3130"/>
        </w:trPr>
        <w:tc>
          <w:tcPr>
            <w:tcW w:w="5768" w:type="dxa"/>
            <w:tcBorders>
              <w:top w:val="single" w:sz="8" w:space="0" w:color="000000"/>
              <w:left w:val="single" w:sz="8" w:space="0" w:color="000000"/>
            </w:tcBorders>
            <w:vAlign w:val="center"/>
          </w:tcPr>
          <w:p w14:paraId="24EFE17F" w14:textId="77777777" w:rsidR="00D81755" w:rsidRDefault="0073296A">
            <w:pPr>
              <w:rPr>
                <w:b/>
                <w:bCs/>
                <w:color w:val="000000"/>
                <w:sz w:val="20"/>
                <w:szCs w:val="20"/>
              </w:rPr>
            </w:pPr>
            <w:r>
              <w:rPr>
                <w:b/>
                <w:bCs/>
                <w:color w:val="000000"/>
                <w:sz w:val="20"/>
                <w:szCs w:val="20"/>
              </w:rPr>
              <w:t xml:space="preserve">GOAL 2: </w:t>
            </w:r>
            <w:r>
              <w:rPr>
                <w:b/>
                <w:bCs/>
                <w:sz w:val="20"/>
                <w:szCs w:val="20"/>
              </w:rPr>
              <w:t>The MHA Program provides a high-quality, competency-based educational experience to all students.</w:t>
            </w:r>
          </w:p>
        </w:tc>
        <w:tc>
          <w:tcPr>
            <w:tcW w:w="5588" w:type="dxa"/>
            <w:tcBorders>
              <w:top w:val="single" w:sz="8" w:space="0" w:color="000000"/>
              <w:bottom w:val="single" w:sz="8" w:space="0" w:color="000000"/>
              <w:right w:val="single" w:sz="8" w:space="0" w:color="000000"/>
            </w:tcBorders>
          </w:tcPr>
          <w:p w14:paraId="24EFE180" w14:textId="77777777" w:rsidR="00D81755" w:rsidRDefault="0073296A">
            <w:pPr>
              <w:rPr>
                <w:sz w:val="20"/>
                <w:szCs w:val="20"/>
              </w:rPr>
            </w:pPr>
            <w:r>
              <w:rPr>
                <w:sz w:val="20"/>
                <w:szCs w:val="20"/>
              </w:rPr>
              <w:t>1a. 80% of MHA Program students achieve at least intermediate proficiency in all competencies by the completion of the program.</w:t>
            </w:r>
          </w:p>
          <w:p w14:paraId="24EFE181" w14:textId="77777777" w:rsidR="00D81755" w:rsidRDefault="0073296A">
            <w:pPr>
              <w:rPr>
                <w:sz w:val="20"/>
                <w:szCs w:val="20"/>
              </w:rPr>
            </w:pPr>
            <w:r>
              <w:rPr>
                <w:sz w:val="20"/>
                <w:szCs w:val="20"/>
              </w:rPr>
              <w:t>2. Course evaluations and feedback sessions are administered for 100</w:t>
            </w:r>
            <w:proofErr w:type="gramStart"/>
            <w:r>
              <w:rPr>
                <w:sz w:val="20"/>
                <w:szCs w:val="20"/>
              </w:rPr>
              <w:t>% of</w:t>
            </w:r>
            <w:proofErr w:type="gramEnd"/>
            <w:r>
              <w:rPr>
                <w:sz w:val="20"/>
                <w:szCs w:val="20"/>
              </w:rPr>
              <w:t xml:space="preserve"> MHA Program courses. </w:t>
            </w:r>
          </w:p>
          <w:p w14:paraId="24EFE182" w14:textId="77777777" w:rsidR="00D81755" w:rsidRDefault="0073296A">
            <w:pPr>
              <w:rPr>
                <w:sz w:val="20"/>
                <w:szCs w:val="20"/>
              </w:rPr>
            </w:pPr>
            <w:r>
              <w:rPr>
                <w:sz w:val="20"/>
                <w:szCs w:val="20"/>
              </w:rPr>
              <w:t>3. Academic and Faculty advising are offered to 100% of MHA students.</w:t>
            </w:r>
          </w:p>
          <w:p w14:paraId="24EFE183" w14:textId="77777777" w:rsidR="00D81755" w:rsidRDefault="0073296A">
            <w:pPr>
              <w:rPr>
                <w:sz w:val="20"/>
                <w:szCs w:val="20"/>
              </w:rPr>
            </w:pPr>
            <w:r>
              <w:rPr>
                <w:sz w:val="20"/>
                <w:szCs w:val="20"/>
              </w:rPr>
              <w:t xml:space="preserve">4. The MHA Advisory Board convenes biannually to solicit feedback </w:t>
            </w:r>
            <w:proofErr w:type="gramStart"/>
            <w:r>
              <w:rPr>
                <w:sz w:val="20"/>
                <w:szCs w:val="20"/>
              </w:rPr>
              <w:t>for</w:t>
            </w:r>
            <w:proofErr w:type="gramEnd"/>
            <w:r>
              <w:rPr>
                <w:sz w:val="20"/>
                <w:szCs w:val="20"/>
              </w:rPr>
              <w:t xml:space="preserve"> continuous quality improvement on the competency model, curriculum and other Program matters.</w:t>
            </w:r>
          </w:p>
          <w:p w14:paraId="24EFE184" w14:textId="77777777" w:rsidR="00D81755" w:rsidRDefault="0073296A">
            <w:pPr>
              <w:rPr>
                <w:sz w:val="20"/>
                <w:szCs w:val="20"/>
              </w:rPr>
            </w:pPr>
            <w:r>
              <w:rPr>
                <w:sz w:val="20"/>
                <w:szCs w:val="20"/>
              </w:rPr>
              <w:t>5. Alumni receive a survey within 90 days of graduation and every three years thereafter to assess the efficacy and relevance of the competency model and their perceived level of preparedness to contribute to the field of health management.</w:t>
            </w:r>
          </w:p>
        </w:tc>
      </w:tr>
      <w:tr w:rsidR="00D81755" w14:paraId="24EFE18A" w14:textId="77777777" w:rsidTr="00A27B70">
        <w:trPr>
          <w:trHeight w:val="160"/>
        </w:trPr>
        <w:tc>
          <w:tcPr>
            <w:tcW w:w="5768" w:type="dxa"/>
            <w:tcBorders>
              <w:top w:val="single" w:sz="8" w:space="0" w:color="000000"/>
              <w:left w:val="single" w:sz="8" w:space="0" w:color="000000"/>
              <w:bottom w:val="single" w:sz="8" w:space="0" w:color="000000"/>
            </w:tcBorders>
          </w:tcPr>
          <w:p w14:paraId="24EFE186" w14:textId="77777777" w:rsidR="00D81755" w:rsidRDefault="0073296A">
            <w:pPr>
              <w:rPr>
                <w:b/>
                <w:bCs/>
              </w:rPr>
            </w:pPr>
            <w:r>
              <w:rPr>
                <w:b/>
                <w:bCs/>
                <w:color w:val="000000"/>
                <w:sz w:val="20"/>
                <w:szCs w:val="20"/>
              </w:rPr>
              <w:t xml:space="preserve">GOAL 3: </w:t>
            </w:r>
            <w:r>
              <w:rPr>
                <w:b/>
                <w:bCs/>
                <w:sz w:val="20"/>
                <w:szCs w:val="20"/>
              </w:rPr>
              <w:t>The MHA Program aims to give back to the professional community and improve health management and population health education in a generalizable manner through service and suggested best practices.</w:t>
            </w:r>
            <w:r>
              <w:rPr>
                <w:b/>
                <w:bCs/>
              </w:rPr>
              <w:t xml:space="preserve"> </w:t>
            </w:r>
          </w:p>
        </w:tc>
        <w:tc>
          <w:tcPr>
            <w:tcW w:w="5588" w:type="dxa"/>
            <w:tcBorders>
              <w:top w:val="single" w:sz="8" w:space="0" w:color="000000"/>
              <w:bottom w:val="single" w:sz="8" w:space="0" w:color="000000"/>
              <w:right w:val="single" w:sz="8" w:space="0" w:color="000000"/>
            </w:tcBorders>
          </w:tcPr>
          <w:p w14:paraId="24EFE187" w14:textId="77777777" w:rsidR="00D81755" w:rsidRDefault="0073296A">
            <w:pPr>
              <w:spacing w:line="276" w:lineRule="auto"/>
              <w:rPr>
                <w:sz w:val="20"/>
                <w:szCs w:val="20"/>
              </w:rPr>
            </w:pPr>
            <w:r>
              <w:rPr>
                <w:sz w:val="20"/>
                <w:szCs w:val="20"/>
              </w:rPr>
              <w:t>1. 75% of MHA Program core faculty and Subject Matter Experts (SMEs) will hold a membership a state, regional, national or international professional organization.</w:t>
            </w:r>
          </w:p>
          <w:p w14:paraId="24EFE188" w14:textId="77777777" w:rsidR="00D81755" w:rsidRDefault="0073296A">
            <w:pPr>
              <w:spacing w:line="276" w:lineRule="auto"/>
              <w:rPr>
                <w:sz w:val="20"/>
                <w:szCs w:val="20"/>
              </w:rPr>
            </w:pPr>
            <w:r>
              <w:rPr>
                <w:sz w:val="20"/>
                <w:szCs w:val="20"/>
              </w:rPr>
              <w:t>2. 100% of full-time MHA Program core faculty will serve on one University-wide or PPH committee.</w:t>
            </w:r>
          </w:p>
          <w:p w14:paraId="24EFE189" w14:textId="77777777" w:rsidR="00D81755" w:rsidRDefault="0073296A">
            <w:pPr>
              <w:rPr>
                <w:color w:val="000000"/>
                <w:sz w:val="20"/>
                <w:szCs w:val="20"/>
              </w:rPr>
            </w:pPr>
            <w:r>
              <w:rPr>
                <w:sz w:val="20"/>
                <w:szCs w:val="20"/>
              </w:rPr>
              <w:t>3. At least 50% of MHA Program core faculty and SMEs will hold either a leadership position with a professional or academic organization or membership in an associated task force, working group, or committee.</w:t>
            </w:r>
          </w:p>
        </w:tc>
      </w:tr>
      <w:tr w:rsidR="00D81755" w14:paraId="24EFE190" w14:textId="77777777" w:rsidTr="00A27B70">
        <w:trPr>
          <w:trHeight w:val="2230"/>
        </w:trPr>
        <w:tc>
          <w:tcPr>
            <w:tcW w:w="5768" w:type="dxa"/>
            <w:tcBorders>
              <w:top w:val="single" w:sz="8" w:space="0" w:color="000000"/>
              <w:left w:val="single" w:sz="8" w:space="0" w:color="000000"/>
              <w:bottom w:val="single" w:sz="8" w:space="0" w:color="000000"/>
            </w:tcBorders>
            <w:vAlign w:val="center"/>
          </w:tcPr>
          <w:p w14:paraId="24EFE18B" w14:textId="77777777" w:rsidR="00D81755" w:rsidRDefault="0073296A">
            <w:pPr>
              <w:rPr>
                <w:b/>
                <w:bCs/>
                <w:color w:val="000000"/>
                <w:sz w:val="20"/>
                <w:szCs w:val="20"/>
              </w:rPr>
            </w:pPr>
            <w:r>
              <w:rPr>
                <w:b/>
                <w:bCs/>
                <w:color w:val="000000"/>
                <w:sz w:val="20"/>
                <w:szCs w:val="20"/>
              </w:rPr>
              <w:t xml:space="preserve">GOAL 4: </w:t>
            </w:r>
            <w:r>
              <w:rPr>
                <w:b/>
                <w:bCs/>
                <w:sz w:val="20"/>
                <w:szCs w:val="20"/>
              </w:rPr>
              <w:t>The MHA Program Instructional Faculty (which includes Subject Matter Experts (SMEs)) are health care leaders and scholars who value scholarship, research, evidence-based practice, and innovative teaching methods.</w:t>
            </w:r>
          </w:p>
        </w:tc>
        <w:tc>
          <w:tcPr>
            <w:tcW w:w="5588" w:type="dxa"/>
            <w:tcBorders>
              <w:top w:val="single" w:sz="8" w:space="0" w:color="000000"/>
              <w:bottom w:val="single" w:sz="8" w:space="0" w:color="000000"/>
              <w:right w:val="single" w:sz="8" w:space="0" w:color="000000"/>
            </w:tcBorders>
          </w:tcPr>
          <w:p w14:paraId="24EFE18C" w14:textId="77777777" w:rsidR="00D81755" w:rsidRDefault="0073296A">
            <w:pPr>
              <w:rPr>
                <w:sz w:val="20"/>
                <w:szCs w:val="20"/>
              </w:rPr>
            </w:pPr>
            <w:r>
              <w:rPr>
                <w:sz w:val="20"/>
                <w:szCs w:val="20"/>
              </w:rPr>
              <w:t>1. 80% of Full-time faculty and SMEs take part in professional development activities designed to keep abreast of current health care/management issues and maintain currency in their areas of instructional responsibility.</w:t>
            </w:r>
          </w:p>
          <w:p w14:paraId="24EFE18D" w14:textId="77777777" w:rsidR="00D81755" w:rsidRDefault="0073296A">
            <w:pPr>
              <w:rPr>
                <w:sz w:val="20"/>
                <w:szCs w:val="20"/>
              </w:rPr>
            </w:pPr>
            <w:r>
              <w:rPr>
                <w:sz w:val="20"/>
                <w:szCs w:val="20"/>
              </w:rPr>
              <w:t>2. 90% of SMEs have at least 7 years of work experience in a healthcare management field.</w:t>
            </w:r>
          </w:p>
          <w:p w14:paraId="24EFE18E" w14:textId="77777777" w:rsidR="00D81755" w:rsidRDefault="0073296A">
            <w:pPr>
              <w:rPr>
                <w:sz w:val="20"/>
                <w:szCs w:val="20"/>
              </w:rPr>
            </w:pPr>
            <w:r>
              <w:rPr>
                <w:sz w:val="20"/>
                <w:szCs w:val="20"/>
              </w:rPr>
              <w:t>3. 50% of SMEs hold a senior management position.</w:t>
            </w:r>
          </w:p>
          <w:p w14:paraId="24EFE18F" w14:textId="77777777" w:rsidR="00D81755" w:rsidRDefault="0073296A">
            <w:pPr>
              <w:rPr>
                <w:sz w:val="20"/>
                <w:szCs w:val="20"/>
              </w:rPr>
            </w:pPr>
            <w:r>
              <w:rPr>
                <w:sz w:val="20"/>
                <w:szCs w:val="20"/>
              </w:rPr>
              <w:t xml:space="preserve">4. </w:t>
            </w:r>
            <w:proofErr w:type="gramStart"/>
            <w:r>
              <w:rPr>
                <w:sz w:val="20"/>
                <w:szCs w:val="20"/>
              </w:rPr>
              <w:t>100%%</w:t>
            </w:r>
            <w:proofErr w:type="gramEnd"/>
            <w:r>
              <w:rPr>
                <w:sz w:val="20"/>
                <w:szCs w:val="20"/>
              </w:rPr>
              <w:t xml:space="preserve"> of SMEs have terminal degrees and/or an MHA or in a related field.</w:t>
            </w:r>
          </w:p>
        </w:tc>
      </w:tr>
      <w:tr w:rsidR="00D81755" w14:paraId="24EFE195" w14:textId="77777777" w:rsidTr="00A27B70">
        <w:trPr>
          <w:trHeight w:val="592"/>
        </w:trPr>
        <w:tc>
          <w:tcPr>
            <w:tcW w:w="5768" w:type="dxa"/>
            <w:tcBorders>
              <w:top w:val="single" w:sz="8" w:space="0" w:color="000000"/>
              <w:left w:val="single" w:sz="8" w:space="0" w:color="000000"/>
              <w:bottom w:val="single" w:sz="8" w:space="0" w:color="000000"/>
            </w:tcBorders>
            <w:vAlign w:val="center"/>
          </w:tcPr>
          <w:p w14:paraId="24EFE191" w14:textId="77777777" w:rsidR="00D81755" w:rsidRDefault="0073296A">
            <w:pPr>
              <w:rPr>
                <w:rFonts w:ascii="Times" w:eastAsia="Times" w:hAnsi="Times" w:cs="Times"/>
                <w:b/>
                <w:bCs/>
                <w:sz w:val="20"/>
                <w:szCs w:val="20"/>
              </w:rPr>
            </w:pPr>
            <w:r>
              <w:rPr>
                <w:b/>
                <w:bCs/>
                <w:sz w:val="20"/>
                <w:szCs w:val="20"/>
              </w:rPr>
              <w:t xml:space="preserve">GOAL 5: </w:t>
            </w:r>
            <w:r>
              <w:rPr>
                <w:rFonts w:ascii="Times" w:eastAsia="Times" w:hAnsi="Times" w:cs="Times"/>
                <w:b/>
                <w:bCs/>
                <w:sz w:val="20"/>
                <w:szCs w:val="20"/>
              </w:rPr>
              <w:t>Graduates of the MHA Program will be prepared to contribute as managers to support the delivery of high-quality care throughout the health services sector.</w:t>
            </w:r>
          </w:p>
          <w:p w14:paraId="24EFE192" w14:textId="77777777" w:rsidR="00D81755" w:rsidRDefault="00D81755">
            <w:pPr>
              <w:rPr>
                <w:rFonts w:ascii="Times" w:eastAsia="Times" w:hAnsi="Times" w:cs="Times"/>
                <w:sz w:val="20"/>
                <w:szCs w:val="20"/>
              </w:rPr>
            </w:pPr>
          </w:p>
        </w:tc>
        <w:tc>
          <w:tcPr>
            <w:tcW w:w="5588" w:type="dxa"/>
            <w:tcBorders>
              <w:top w:val="single" w:sz="8" w:space="0" w:color="000000"/>
              <w:bottom w:val="single" w:sz="8" w:space="0" w:color="000000"/>
              <w:right w:val="single" w:sz="8" w:space="0" w:color="000000"/>
            </w:tcBorders>
          </w:tcPr>
          <w:p w14:paraId="24EFE193" w14:textId="77777777" w:rsidR="00D81755" w:rsidRDefault="0073296A">
            <w:pPr>
              <w:spacing w:before="100" w:line="276" w:lineRule="auto"/>
              <w:rPr>
                <w:sz w:val="20"/>
                <w:szCs w:val="20"/>
              </w:rPr>
            </w:pPr>
            <w:r>
              <w:rPr>
                <w:sz w:val="20"/>
                <w:szCs w:val="20"/>
              </w:rPr>
              <w:t xml:space="preserve">1. At least 80% of graduates are employed in the health services sector within one year of graduation.  </w:t>
            </w:r>
          </w:p>
          <w:p w14:paraId="24EFE194" w14:textId="77777777" w:rsidR="00D81755" w:rsidRDefault="0073296A">
            <w:pPr>
              <w:spacing w:before="100" w:line="276" w:lineRule="auto"/>
              <w:rPr>
                <w:sz w:val="20"/>
                <w:szCs w:val="20"/>
              </w:rPr>
            </w:pPr>
            <w:r>
              <w:rPr>
                <w:sz w:val="20"/>
                <w:szCs w:val="20"/>
              </w:rPr>
              <w:t>2. The Program uses market research, assessment tools, and stakeholder input from faculty, Subject Matter Experts, employers, MHA/MPH HPM Advisory Board members, students and alumni to engage in a continuous process that identifies changing needs for health management education and is responsive to those needs.</w:t>
            </w:r>
          </w:p>
        </w:tc>
      </w:tr>
    </w:tbl>
    <w:p w14:paraId="24EFE196" w14:textId="77777777" w:rsidR="00D81755" w:rsidRDefault="00D81755"/>
    <w:sectPr w:rsidR="00D81755">
      <w:headerReference w:type="default" r:id="rId75"/>
      <w:footerReference w:type="default" r:id="rId76"/>
      <w:pgSz w:w="12240" w:h="15840"/>
      <w:pgMar w:top="720" w:right="432" w:bottom="720" w:left="43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B2A408" w14:textId="77777777" w:rsidR="00F62523" w:rsidRDefault="00F62523">
      <w:r>
        <w:separator/>
      </w:r>
    </w:p>
  </w:endnote>
  <w:endnote w:type="continuationSeparator" w:id="0">
    <w:p w14:paraId="6684B88F" w14:textId="77777777" w:rsidR="00F62523" w:rsidRDefault="00F625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908DC260-6C75-49F9-BD2A-CA5643E75299}"/>
  </w:font>
  <w:font w:name="Courier New">
    <w:panose1 w:val="02070309020205020404"/>
    <w:charset w:val="00"/>
    <w:family w:val="modern"/>
    <w:pitch w:val="fixed"/>
    <w:sig w:usb0="E0002EFF" w:usb1="C0007843" w:usb2="00000009" w:usb3="00000000" w:csb0="000001FF" w:csb1="00000000"/>
  </w:font>
  <w:font w:name="Manrope">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2" w:fontKey="{495996B7-562A-4577-BA55-E1D784AC30C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3" w:fontKey="{F07E5346-6626-4A0C-B972-D8B976D1D004}"/>
    <w:embedBold r:id="rId4" w:fontKey="{99C505E6-102D-4B1E-B604-FDAA3850324B}"/>
  </w:font>
  <w:font w:name="Cambria">
    <w:panose1 w:val="02040503050406030204"/>
    <w:charset w:val="00"/>
    <w:family w:val="roman"/>
    <w:pitch w:val="variable"/>
    <w:sig w:usb0="E00006FF" w:usb1="420024FF" w:usb2="02000000" w:usb3="00000000" w:csb0="0000019F" w:csb1="00000000"/>
    <w:embedRegular r:id="rId5" w:fontKey="{EBBB7972-F7E6-4AE3-86F5-263599504CFE}"/>
    <w:embedBold r:id="rId6" w:fontKey="{3D5C18FC-376A-4542-A0BF-91607AF85DBE}"/>
  </w:font>
  <w:font w:name="Times">
    <w:panose1 w:val="02020603050405020304"/>
    <w:charset w:val="00"/>
    <w:family w:val="roman"/>
    <w:pitch w:val="variable"/>
    <w:sig w:usb0="E0002EFF" w:usb1="C000785B" w:usb2="00000009" w:usb3="00000000" w:csb0="000001FF" w:csb1="00000000"/>
    <w:embedRegular r:id="rId7" w:fontKey="{6562732B-0F47-415A-88F1-BF6B3D2B3FB5}"/>
    <w:embedBold r:id="rId8" w:fontKey="{21C9CFA4-FA74-4476-9783-862A3EEDC9C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FE19D" w14:textId="77777777" w:rsidR="00D81755" w:rsidRDefault="0073296A">
    <w:pPr>
      <w:pBdr>
        <w:top w:val="nil"/>
        <w:left w:val="nil"/>
        <w:bottom w:val="nil"/>
        <w:right w:val="nil"/>
        <w:between w:val="nil"/>
      </w:pBdr>
      <w:tabs>
        <w:tab w:val="center" w:pos="4320"/>
        <w:tab w:val="right" w:pos="8640"/>
      </w:tabs>
      <w:rPr>
        <w:color w:val="000000"/>
        <w:sz w:val="15"/>
        <w:szCs w:val="15"/>
      </w:rPr>
    </w:pPr>
    <w:r>
      <w:rPr>
        <w:color w:val="000000"/>
        <w:sz w:val="15"/>
        <w:szCs w:val="15"/>
      </w:rPr>
      <w:t>_________________________________________________________________________________________________________________________________</w:t>
    </w:r>
  </w:p>
  <w:p w14:paraId="24EFE19E" w14:textId="790EA3D4" w:rsidR="00D81755" w:rsidRDefault="0073296A">
    <w:pPr>
      <w:pBdr>
        <w:top w:val="nil"/>
        <w:left w:val="nil"/>
        <w:bottom w:val="nil"/>
        <w:right w:val="nil"/>
        <w:between w:val="nil"/>
      </w:pBdr>
      <w:tabs>
        <w:tab w:val="center" w:pos="4320"/>
        <w:tab w:val="right" w:pos="8640"/>
      </w:tabs>
      <w:rPr>
        <w:color w:val="000000"/>
        <w:sz w:val="16"/>
        <w:szCs w:val="16"/>
      </w:rPr>
    </w:pPr>
    <w:r>
      <w:rPr>
        <w:sz w:val="16"/>
        <w:szCs w:val="16"/>
      </w:rPr>
      <w:t>August</w:t>
    </w:r>
    <w:r>
      <w:rPr>
        <w:color w:val="000000"/>
        <w:sz w:val="16"/>
        <w:szCs w:val="16"/>
      </w:rPr>
      <w:t xml:space="preserve"> 202</w:t>
    </w:r>
    <w:r>
      <w:rPr>
        <w:sz w:val="16"/>
        <w:szCs w:val="16"/>
      </w:rPr>
      <w:t>6</w:t>
    </w:r>
    <w:r>
      <w:rPr>
        <w:color w:val="000000"/>
        <w:sz w:val="16"/>
        <w:szCs w:val="16"/>
      </w:rPr>
      <w:tab/>
    </w:r>
    <w:r>
      <w:rPr>
        <w:color w:val="000000"/>
        <w:sz w:val="16"/>
        <w:szCs w:val="16"/>
      </w:rPr>
      <w:tab/>
    </w:r>
    <w:r>
      <w:rPr>
        <w:color w:val="000000"/>
        <w:sz w:val="16"/>
        <w:szCs w:val="16"/>
      </w:rPr>
      <w:tab/>
    </w:r>
    <w:r>
      <w:rPr>
        <w:color w:val="000000"/>
        <w:sz w:val="16"/>
        <w:szCs w:val="16"/>
      </w:rPr>
      <w:tab/>
      <w:t xml:space="preserve">Pg. </w:t>
    </w:r>
    <w:r>
      <w:rPr>
        <w:color w:val="000000"/>
        <w:sz w:val="16"/>
        <w:szCs w:val="16"/>
      </w:rPr>
      <w:fldChar w:fldCharType="begin"/>
    </w:r>
    <w:r>
      <w:rPr>
        <w:color w:val="000000"/>
        <w:sz w:val="16"/>
        <w:szCs w:val="16"/>
      </w:rPr>
      <w:instrText>PAGE</w:instrText>
    </w:r>
    <w:r>
      <w:rPr>
        <w:color w:val="000000"/>
        <w:sz w:val="16"/>
        <w:szCs w:val="16"/>
      </w:rPr>
      <w:fldChar w:fldCharType="separate"/>
    </w:r>
    <w:r w:rsidR="00F8359E">
      <w:rPr>
        <w:noProof/>
        <w:color w:val="000000"/>
        <w:sz w:val="16"/>
        <w:szCs w:val="16"/>
      </w:rPr>
      <w:t>2</w:t>
    </w:r>
    <w:r>
      <w:rPr>
        <w:color w:val="000000"/>
        <w:sz w:val="16"/>
        <w:szCs w:val="16"/>
      </w:rPr>
      <w:fldChar w:fldCharType="end"/>
    </w:r>
    <w:r>
      <w:rPr>
        <w:color w:val="000000"/>
        <w:sz w:val="16"/>
        <w:szCs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FE1A0" w14:textId="02932A7D" w:rsidR="00D81755" w:rsidRDefault="0073296A">
    <w:pPr>
      <w:pBdr>
        <w:top w:val="nil"/>
        <w:left w:val="nil"/>
        <w:bottom w:val="nil"/>
        <w:right w:val="nil"/>
        <w:between w:val="nil"/>
      </w:pBdr>
      <w:tabs>
        <w:tab w:val="center" w:pos="4320"/>
        <w:tab w:val="right" w:pos="8640"/>
      </w:tabs>
      <w:rPr>
        <w:color w:val="000000"/>
        <w:sz w:val="16"/>
        <w:szCs w:val="16"/>
      </w:rPr>
    </w:pPr>
    <w:r>
      <w:rPr>
        <w:color w:val="000000"/>
        <w:sz w:val="16"/>
        <w:szCs w:val="16"/>
      </w:rPr>
      <w:t>August 202</w:t>
    </w:r>
    <w:r>
      <w:rPr>
        <w:sz w:val="16"/>
        <w:szCs w:val="16"/>
      </w:rPr>
      <w:t>6</w:t>
    </w:r>
    <w:r>
      <w:rPr>
        <w:color w:val="000000"/>
        <w:sz w:val="16"/>
        <w:szCs w:val="16"/>
      </w:rPr>
      <w:tab/>
    </w:r>
    <w:r>
      <w:rPr>
        <w:color w:val="000000"/>
        <w:sz w:val="16"/>
        <w:szCs w:val="16"/>
      </w:rPr>
      <w:tab/>
    </w:r>
    <w:r>
      <w:rPr>
        <w:color w:val="000000"/>
        <w:sz w:val="16"/>
        <w:szCs w:val="16"/>
      </w:rPr>
      <w:tab/>
    </w:r>
    <w:r>
      <w:rPr>
        <w:color w:val="000000"/>
        <w:sz w:val="16"/>
        <w:szCs w:val="16"/>
      </w:rPr>
      <w:tab/>
      <w:t xml:space="preserve">                                                                                 Pg. </w:t>
    </w:r>
    <w:r>
      <w:rPr>
        <w:color w:val="000000"/>
        <w:sz w:val="16"/>
        <w:szCs w:val="16"/>
      </w:rPr>
      <w:fldChar w:fldCharType="begin"/>
    </w:r>
    <w:r>
      <w:rPr>
        <w:color w:val="000000"/>
        <w:sz w:val="16"/>
        <w:szCs w:val="16"/>
      </w:rPr>
      <w:instrText>PAGE</w:instrText>
    </w:r>
    <w:r>
      <w:rPr>
        <w:color w:val="000000"/>
        <w:sz w:val="16"/>
        <w:szCs w:val="16"/>
      </w:rPr>
      <w:fldChar w:fldCharType="separate"/>
    </w:r>
    <w:r w:rsidR="00F8359E">
      <w:rPr>
        <w:noProof/>
        <w:color w:val="000000"/>
        <w:sz w:val="16"/>
        <w:szCs w:val="16"/>
      </w:rPr>
      <w:t>52</w:t>
    </w:r>
    <w:r>
      <w:rPr>
        <w:color w:val="000000"/>
        <w:sz w:val="16"/>
        <w:szCs w:val="16"/>
      </w:rPr>
      <w:fldChar w:fldCharType="end"/>
    </w:r>
    <w:r>
      <w:rPr>
        <w:color w:val="000000"/>
        <w:sz w:val="16"/>
        <w:szCs w:val="16"/>
      </w:rPr>
      <w:t xml:space="preserve"> </w:t>
    </w:r>
  </w:p>
  <w:p w14:paraId="24EFE1A1" w14:textId="77777777" w:rsidR="00D81755" w:rsidRDefault="00D81755">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CAA693" w14:textId="77777777" w:rsidR="00F62523" w:rsidRDefault="00F62523">
      <w:r>
        <w:separator/>
      </w:r>
    </w:p>
  </w:footnote>
  <w:footnote w:type="continuationSeparator" w:id="0">
    <w:p w14:paraId="0C27E8CA" w14:textId="77777777" w:rsidR="00F62523" w:rsidRDefault="00F62523">
      <w:r>
        <w:continuationSeparator/>
      </w:r>
    </w:p>
  </w:footnote>
  <w:footnote w:id="1">
    <w:p w14:paraId="24EFE1A2" w14:textId="77777777" w:rsidR="00D81755" w:rsidRDefault="0073296A">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Institute of Medicine.  </w:t>
      </w:r>
      <w:r>
        <w:rPr>
          <w:i/>
          <w:iCs/>
          <w:color w:val="000000"/>
          <w:sz w:val="20"/>
          <w:szCs w:val="20"/>
        </w:rPr>
        <w:t>The Future of the Public’s Health in the 21</w:t>
      </w:r>
      <w:r>
        <w:rPr>
          <w:i/>
          <w:iCs/>
          <w:color w:val="000000"/>
          <w:sz w:val="20"/>
          <w:szCs w:val="20"/>
          <w:vertAlign w:val="superscript"/>
        </w:rPr>
        <w:t>st</w:t>
      </w:r>
      <w:r>
        <w:rPr>
          <w:i/>
          <w:iCs/>
          <w:color w:val="000000"/>
          <w:sz w:val="20"/>
          <w:szCs w:val="20"/>
        </w:rPr>
        <w:t xml:space="preserve"> Century. </w:t>
      </w:r>
      <w:r>
        <w:rPr>
          <w:color w:val="000000"/>
          <w:sz w:val="20"/>
          <w:szCs w:val="20"/>
        </w:rPr>
        <w:t>Washington, D.C.: The National Academies Press, 2002.</w:t>
      </w:r>
    </w:p>
  </w:footnote>
  <w:footnote w:id="2">
    <w:p w14:paraId="24EFE1A3" w14:textId="77777777" w:rsidR="00D81755" w:rsidRDefault="0073296A">
      <w:pPr>
        <w:spacing w:after="240"/>
        <w:rPr>
          <w:sz w:val="20"/>
          <w:szCs w:val="20"/>
        </w:rPr>
      </w:pPr>
      <w:r>
        <w:rPr>
          <w:vertAlign w:val="superscript"/>
        </w:rPr>
        <w:footnoteRef/>
      </w:r>
      <w:r>
        <w:rPr>
          <w:sz w:val="20"/>
          <w:szCs w:val="20"/>
        </w:rPr>
        <w:t xml:space="preserve"> Institute of Medicine.  </w:t>
      </w:r>
      <w:r>
        <w:rPr>
          <w:i/>
          <w:iCs/>
          <w:sz w:val="20"/>
          <w:szCs w:val="20"/>
        </w:rPr>
        <w:t>The Future of Public Health</w:t>
      </w:r>
      <w:r>
        <w:rPr>
          <w:sz w:val="20"/>
          <w:szCs w:val="20"/>
        </w:rPr>
        <w:t>. Washington, DC: National Academy Press, 1988.</w:t>
      </w:r>
    </w:p>
    <w:p w14:paraId="24EFE1A4" w14:textId="77777777" w:rsidR="00D81755" w:rsidRDefault="00D81755">
      <w:pPr>
        <w:pBdr>
          <w:top w:val="nil"/>
          <w:left w:val="nil"/>
          <w:bottom w:val="nil"/>
          <w:right w:val="nil"/>
          <w:between w:val="nil"/>
        </w:pBdr>
        <w:rPr>
          <w:color w:val="000000"/>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FE19F" w14:textId="77777777" w:rsidR="00D81755" w:rsidRDefault="00D81755">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5305C"/>
    <w:multiLevelType w:val="multilevel"/>
    <w:tmpl w:val="ED34645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CB476F3"/>
    <w:multiLevelType w:val="multilevel"/>
    <w:tmpl w:val="33AA8F4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DE121D1"/>
    <w:multiLevelType w:val="multilevel"/>
    <w:tmpl w:val="303AAF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0610180"/>
    <w:multiLevelType w:val="multilevel"/>
    <w:tmpl w:val="726C2BF0"/>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0B93819"/>
    <w:multiLevelType w:val="hybridMultilevel"/>
    <w:tmpl w:val="B498D284"/>
    <w:lvl w:ilvl="0" w:tplc="955A07CC">
      <w:start w:val="1"/>
      <w:numFmt w:val="bullet"/>
      <w:lvlText w:val="●"/>
      <w:lvlJc w:val="left"/>
      <w:pPr>
        <w:tabs>
          <w:tab w:val="num" w:pos="720"/>
        </w:tabs>
        <w:ind w:left="720" w:hanging="360"/>
      </w:pPr>
      <w:rPr>
        <w:rFonts w:ascii="Manrope" w:hAnsi="Manrope" w:hint="default"/>
      </w:rPr>
    </w:lvl>
    <w:lvl w:ilvl="1" w:tplc="92241622" w:tentative="1">
      <w:start w:val="1"/>
      <w:numFmt w:val="bullet"/>
      <w:lvlText w:val="●"/>
      <w:lvlJc w:val="left"/>
      <w:pPr>
        <w:tabs>
          <w:tab w:val="num" w:pos="1440"/>
        </w:tabs>
        <w:ind w:left="1440" w:hanging="360"/>
      </w:pPr>
      <w:rPr>
        <w:rFonts w:ascii="Manrope" w:hAnsi="Manrope" w:hint="default"/>
      </w:rPr>
    </w:lvl>
    <w:lvl w:ilvl="2" w:tplc="63D2EA30" w:tentative="1">
      <w:start w:val="1"/>
      <w:numFmt w:val="bullet"/>
      <w:lvlText w:val="●"/>
      <w:lvlJc w:val="left"/>
      <w:pPr>
        <w:tabs>
          <w:tab w:val="num" w:pos="2160"/>
        </w:tabs>
        <w:ind w:left="2160" w:hanging="360"/>
      </w:pPr>
      <w:rPr>
        <w:rFonts w:ascii="Manrope" w:hAnsi="Manrope" w:hint="default"/>
      </w:rPr>
    </w:lvl>
    <w:lvl w:ilvl="3" w:tplc="DBB405D4" w:tentative="1">
      <w:start w:val="1"/>
      <w:numFmt w:val="bullet"/>
      <w:lvlText w:val="●"/>
      <w:lvlJc w:val="left"/>
      <w:pPr>
        <w:tabs>
          <w:tab w:val="num" w:pos="2880"/>
        </w:tabs>
        <w:ind w:left="2880" w:hanging="360"/>
      </w:pPr>
      <w:rPr>
        <w:rFonts w:ascii="Manrope" w:hAnsi="Manrope" w:hint="default"/>
      </w:rPr>
    </w:lvl>
    <w:lvl w:ilvl="4" w:tplc="FF0E8440" w:tentative="1">
      <w:start w:val="1"/>
      <w:numFmt w:val="bullet"/>
      <w:lvlText w:val="●"/>
      <w:lvlJc w:val="left"/>
      <w:pPr>
        <w:tabs>
          <w:tab w:val="num" w:pos="3600"/>
        </w:tabs>
        <w:ind w:left="3600" w:hanging="360"/>
      </w:pPr>
      <w:rPr>
        <w:rFonts w:ascii="Manrope" w:hAnsi="Manrope" w:hint="default"/>
      </w:rPr>
    </w:lvl>
    <w:lvl w:ilvl="5" w:tplc="019C277C" w:tentative="1">
      <w:start w:val="1"/>
      <w:numFmt w:val="bullet"/>
      <w:lvlText w:val="●"/>
      <w:lvlJc w:val="left"/>
      <w:pPr>
        <w:tabs>
          <w:tab w:val="num" w:pos="4320"/>
        </w:tabs>
        <w:ind w:left="4320" w:hanging="360"/>
      </w:pPr>
      <w:rPr>
        <w:rFonts w:ascii="Manrope" w:hAnsi="Manrope" w:hint="default"/>
      </w:rPr>
    </w:lvl>
    <w:lvl w:ilvl="6" w:tplc="13EC9DBE" w:tentative="1">
      <w:start w:val="1"/>
      <w:numFmt w:val="bullet"/>
      <w:lvlText w:val="●"/>
      <w:lvlJc w:val="left"/>
      <w:pPr>
        <w:tabs>
          <w:tab w:val="num" w:pos="5040"/>
        </w:tabs>
        <w:ind w:left="5040" w:hanging="360"/>
      </w:pPr>
      <w:rPr>
        <w:rFonts w:ascii="Manrope" w:hAnsi="Manrope" w:hint="default"/>
      </w:rPr>
    </w:lvl>
    <w:lvl w:ilvl="7" w:tplc="0CD8356A" w:tentative="1">
      <w:start w:val="1"/>
      <w:numFmt w:val="bullet"/>
      <w:lvlText w:val="●"/>
      <w:lvlJc w:val="left"/>
      <w:pPr>
        <w:tabs>
          <w:tab w:val="num" w:pos="5760"/>
        </w:tabs>
        <w:ind w:left="5760" w:hanging="360"/>
      </w:pPr>
      <w:rPr>
        <w:rFonts w:ascii="Manrope" w:hAnsi="Manrope" w:hint="default"/>
      </w:rPr>
    </w:lvl>
    <w:lvl w:ilvl="8" w:tplc="B4686778" w:tentative="1">
      <w:start w:val="1"/>
      <w:numFmt w:val="bullet"/>
      <w:lvlText w:val="●"/>
      <w:lvlJc w:val="left"/>
      <w:pPr>
        <w:tabs>
          <w:tab w:val="num" w:pos="6480"/>
        </w:tabs>
        <w:ind w:left="6480" w:hanging="360"/>
      </w:pPr>
      <w:rPr>
        <w:rFonts w:ascii="Manrope" w:hAnsi="Manrope" w:hint="default"/>
      </w:rPr>
    </w:lvl>
  </w:abstractNum>
  <w:abstractNum w:abstractNumId="5" w15:restartNumberingAfterBreak="0">
    <w:nsid w:val="1D41075B"/>
    <w:multiLevelType w:val="multilevel"/>
    <w:tmpl w:val="BD02A0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DEE5AE4"/>
    <w:multiLevelType w:val="multilevel"/>
    <w:tmpl w:val="35A44CC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202558D4"/>
    <w:multiLevelType w:val="multilevel"/>
    <w:tmpl w:val="0284D9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0BC7E2E"/>
    <w:multiLevelType w:val="multilevel"/>
    <w:tmpl w:val="F1AA896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20D53095"/>
    <w:multiLevelType w:val="multilevel"/>
    <w:tmpl w:val="0F92977E"/>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1BA243B"/>
    <w:multiLevelType w:val="multilevel"/>
    <w:tmpl w:val="6D00359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2A2172D5"/>
    <w:multiLevelType w:val="hybridMultilevel"/>
    <w:tmpl w:val="36AE0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5170D6"/>
    <w:multiLevelType w:val="multilevel"/>
    <w:tmpl w:val="24261D1E"/>
    <w:lvl w:ilvl="0">
      <w:start w:val="1"/>
      <w:numFmt w:val="decimal"/>
      <w:lvlText w:val="%1."/>
      <w:lvlJc w:val="left"/>
      <w:pPr>
        <w:ind w:left="720" w:hanging="360"/>
      </w:pPr>
      <w:rPr>
        <w:b w:val="0"/>
        <w:bCs w:val="0"/>
        <w:i w:val="0"/>
        <w:iCs w:val="0"/>
        <w:sz w:val="22"/>
        <w:szCs w:val="22"/>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30240A32"/>
    <w:multiLevelType w:val="multilevel"/>
    <w:tmpl w:val="97B2F15E"/>
    <w:lvl w:ilvl="0">
      <w:start w:val="1"/>
      <w:numFmt w:val="decimal"/>
      <w:lvlText w:val="%1."/>
      <w:lvlJc w:val="left"/>
      <w:pPr>
        <w:ind w:left="720" w:hanging="360"/>
      </w:pPr>
      <w:rPr>
        <w:b w:val="0"/>
        <w:bCs w:val="0"/>
        <w:i w:val="0"/>
        <w:iCs w:val="0"/>
        <w:sz w:val="22"/>
        <w:szCs w:val="22"/>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339E767E"/>
    <w:multiLevelType w:val="multilevel"/>
    <w:tmpl w:val="46FCC9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04E3F5E"/>
    <w:multiLevelType w:val="multilevel"/>
    <w:tmpl w:val="60761DB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49C962DC"/>
    <w:multiLevelType w:val="multilevel"/>
    <w:tmpl w:val="B0FC50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D6972BA"/>
    <w:multiLevelType w:val="multilevel"/>
    <w:tmpl w:val="5442DC5E"/>
    <w:lvl w:ilvl="0">
      <w:start w:val="1"/>
      <w:numFmt w:val="decimal"/>
      <w:lvlText w:val="%1."/>
      <w:lvlJc w:val="left"/>
      <w:pPr>
        <w:ind w:left="720" w:hanging="360"/>
      </w:pPr>
      <w:rPr>
        <w:b w:val="0"/>
        <w:bCs w:val="0"/>
        <w:i w:val="0"/>
        <w:iCs w:val="0"/>
        <w:sz w:val="22"/>
        <w:szCs w:val="22"/>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50451DCE"/>
    <w:multiLevelType w:val="multilevel"/>
    <w:tmpl w:val="420881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15:restartNumberingAfterBreak="0">
    <w:nsid w:val="51DE6B32"/>
    <w:multiLevelType w:val="multilevel"/>
    <w:tmpl w:val="455AF25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0" w15:restartNumberingAfterBreak="0">
    <w:nsid w:val="531B70E8"/>
    <w:multiLevelType w:val="multilevel"/>
    <w:tmpl w:val="62C6E1BA"/>
    <w:lvl w:ilvl="0">
      <w:start w:val="1"/>
      <w:numFmt w:val="bullet"/>
      <w:lvlText w:val="-"/>
      <w:lvlJc w:val="left"/>
      <w:pPr>
        <w:ind w:left="720" w:hanging="360"/>
      </w:pPr>
      <w:rPr>
        <w:rFonts w:ascii="Aptos" w:eastAsia="Aptos" w:hAnsi="Aptos" w:cs="Apto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57855BAD"/>
    <w:multiLevelType w:val="multilevel"/>
    <w:tmpl w:val="AE7AF5A8"/>
    <w:lvl w:ilvl="0">
      <w:start w:val="1"/>
      <w:numFmt w:val="decimal"/>
      <w:lvlText w:val="%1."/>
      <w:lvlJc w:val="left"/>
      <w:pPr>
        <w:ind w:left="720" w:hanging="360"/>
      </w:pPr>
      <w:rPr>
        <w:b w:val="0"/>
        <w:bCs w:val="0"/>
        <w:i w:val="0"/>
        <w:iCs w:val="0"/>
        <w:sz w:val="22"/>
        <w:szCs w:val="22"/>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58FB591C"/>
    <w:multiLevelType w:val="multilevel"/>
    <w:tmpl w:val="98600D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5C2B19BF"/>
    <w:multiLevelType w:val="multilevel"/>
    <w:tmpl w:val="EAC892CA"/>
    <w:lvl w:ilvl="0">
      <w:start w:val="1"/>
      <w:numFmt w:val="bullet"/>
      <w:lvlText w:val="-"/>
      <w:lvlJc w:val="left"/>
      <w:pPr>
        <w:ind w:left="720" w:hanging="360"/>
      </w:pPr>
      <w:rPr>
        <w:rFonts w:ascii="Aptos" w:eastAsia="Aptos" w:hAnsi="Aptos" w:cs="Apto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6019639B"/>
    <w:multiLevelType w:val="multilevel"/>
    <w:tmpl w:val="E6E0C918"/>
    <w:lvl w:ilvl="0">
      <w:start w:val="1"/>
      <w:numFmt w:val="decimal"/>
      <w:lvlText w:val="%1."/>
      <w:lvlJc w:val="left"/>
      <w:pPr>
        <w:ind w:left="720" w:hanging="360"/>
      </w:pPr>
      <w:rPr>
        <w:b w:val="0"/>
        <w:bCs w:val="0"/>
        <w:i w:val="0"/>
        <w:iCs w:val="0"/>
        <w:sz w:val="22"/>
        <w:szCs w:val="22"/>
      </w:rPr>
    </w:lvl>
    <w:lvl w:ilvl="1">
      <w:start w:val="1"/>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 w15:restartNumberingAfterBreak="0">
    <w:nsid w:val="64473934"/>
    <w:multiLevelType w:val="multilevel"/>
    <w:tmpl w:val="9BEC4FA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6" w15:restartNumberingAfterBreak="0">
    <w:nsid w:val="67416B09"/>
    <w:multiLevelType w:val="multilevel"/>
    <w:tmpl w:val="2458B1F0"/>
    <w:lvl w:ilvl="0">
      <w:start w:val="1"/>
      <w:numFmt w:val="decimal"/>
      <w:lvlText w:val="%1."/>
      <w:lvlJc w:val="left"/>
      <w:pPr>
        <w:ind w:left="720" w:hanging="360"/>
      </w:pPr>
      <w:rPr>
        <w:b w:val="0"/>
        <w:bCs w:val="0"/>
        <w:i w:val="0"/>
        <w:iCs w:val="0"/>
        <w:sz w:val="22"/>
        <w:szCs w:val="22"/>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 w15:restartNumberingAfterBreak="0">
    <w:nsid w:val="67487AA1"/>
    <w:multiLevelType w:val="multilevel"/>
    <w:tmpl w:val="B13CEE46"/>
    <w:lvl w:ilvl="0">
      <w:start w:val="1"/>
      <w:numFmt w:val="bullet"/>
      <w:lvlText w:val="●"/>
      <w:lvlJc w:val="left"/>
      <w:pPr>
        <w:ind w:left="360" w:hanging="360"/>
      </w:pPr>
      <w:rPr>
        <w:rFonts w:ascii="Noto Sans Symbols" w:eastAsia="Noto Sans Symbols" w:hAnsi="Noto Sans Symbols" w:cs="Noto Sans Symbols"/>
      </w:rPr>
    </w:lvl>
    <w:lvl w:ilvl="1">
      <w:start w:val="1"/>
      <w:numFmt w:val="upp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15:restartNumberingAfterBreak="0">
    <w:nsid w:val="6BCF45A1"/>
    <w:multiLevelType w:val="multilevel"/>
    <w:tmpl w:val="FEDE4278"/>
    <w:lvl w:ilvl="0">
      <w:start w:val="1"/>
      <w:numFmt w:val="bullet"/>
      <w:lvlText w:val="-"/>
      <w:lvlJc w:val="left"/>
      <w:pPr>
        <w:ind w:left="720" w:hanging="360"/>
      </w:pPr>
      <w:rPr>
        <w:rFonts w:ascii="Aptos" w:eastAsia="Aptos" w:hAnsi="Aptos" w:cs="Apto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6CF36735"/>
    <w:multiLevelType w:val="multilevel"/>
    <w:tmpl w:val="6B60C14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0" w15:restartNumberingAfterBreak="0">
    <w:nsid w:val="70AB2C96"/>
    <w:multiLevelType w:val="multilevel"/>
    <w:tmpl w:val="707E1C9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1" w15:restartNumberingAfterBreak="0">
    <w:nsid w:val="74C27C7C"/>
    <w:multiLevelType w:val="multilevel"/>
    <w:tmpl w:val="EFC29A62"/>
    <w:lvl w:ilvl="0">
      <w:start w:val="1"/>
      <w:numFmt w:val="upp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7D1442BF"/>
    <w:multiLevelType w:val="multilevel"/>
    <w:tmpl w:val="D5EC50C0"/>
    <w:lvl w:ilvl="0">
      <w:start w:val="1"/>
      <w:numFmt w:val="decimal"/>
      <w:lvlText w:val="%1."/>
      <w:lvlJc w:val="left"/>
      <w:pPr>
        <w:ind w:left="720" w:hanging="360"/>
      </w:pPr>
      <w:rPr>
        <w:b w:val="0"/>
        <w:bCs w:val="0"/>
        <w:i w:val="0"/>
        <w:iCs w:val="0"/>
        <w:sz w:val="22"/>
        <w:szCs w:val="22"/>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3" w15:restartNumberingAfterBreak="0">
    <w:nsid w:val="7F886750"/>
    <w:multiLevelType w:val="multilevel"/>
    <w:tmpl w:val="85B0554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060204693">
    <w:abstractNumId w:val="9"/>
  </w:num>
  <w:num w:numId="2" w16cid:durableId="289751163">
    <w:abstractNumId w:val="31"/>
  </w:num>
  <w:num w:numId="3" w16cid:durableId="66465518">
    <w:abstractNumId w:val="16"/>
  </w:num>
  <w:num w:numId="4" w16cid:durableId="1220748280">
    <w:abstractNumId w:val="21"/>
  </w:num>
  <w:num w:numId="5" w16cid:durableId="432173149">
    <w:abstractNumId w:val="19"/>
  </w:num>
  <w:num w:numId="6" w16cid:durableId="576784702">
    <w:abstractNumId w:val="10"/>
  </w:num>
  <w:num w:numId="7" w16cid:durableId="115025913">
    <w:abstractNumId w:val="5"/>
  </w:num>
  <w:num w:numId="8" w16cid:durableId="556205620">
    <w:abstractNumId w:val="0"/>
  </w:num>
  <w:num w:numId="9" w16cid:durableId="208147058">
    <w:abstractNumId w:val="3"/>
  </w:num>
  <w:num w:numId="10" w16cid:durableId="2130660286">
    <w:abstractNumId w:val="12"/>
  </w:num>
  <w:num w:numId="11" w16cid:durableId="1720592196">
    <w:abstractNumId w:val="27"/>
  </w:num>
  <w:num w:numId="12" w16cid:durableId="933897109">
    <w:abstractNumId w:val="26"/>
  </w:num>
  <w:num w:numId="13" w16cid:durableId="296181919">
    <w:abstractNumId w:val="24"/>
  </w:num>
  <w:num w:numId="14" w16cid:durableId="1028606846">
    <w:abstractNumId w:val="20"/>
  </w:num>
  <w:num w:numId="15" w16cid:durableId="731151177">
    <w:abstractNumId w:val="32"/>
  </w:num>
  <w:num w:numId="16" w16cid:durableId="2011369088">
    <w:abstractNumId w:val="23"/>
  </w:num>
  <w:num w:numId="17" w16cid:durableId="507447321">
    <w:abstractNumId w:val="8"/>
  </w:num>
  <w:num w:numId="18" w16cid:durableId="1473131342">
    <w:abstractNumId w:val="28"/>
  </w:num>
  <w:num w:numId="19" w16cid:durableId="738211466">
    <w:abstractNumId w:val="33"/>
  </w:num>
  <w:num w:numId="20" w16cid:durableId="1778527372">
    <w:abstractNumId w:val="6"/>
  </w:num>
  <w:num w:numId="21" w16cid:durableId="862014195">
    <w:abstractNumId w:val="29"/>
  </w:num>
  <w:num w:numId="22" w16cid:durableId="230819384">
    <w:abstractNumId w:val="17"/>
  </w:num>
  <w:num w:numId="23" w16cid:durableId="754791390">
    <w:abstractNumId w:val="14"/>
  </w:num>
  <w:num w:numId="24" w16cid:durableId="1159269739">
    <w:abstractNumId w:val="13"/>
  </w:num>
  <w:num w:numId="25" w16cid:durableId="1745644360">
    <w:abstractNumId w:val="7"/>
  </w:num>
  <w:num w:numId="26" w16cid:durableId="1019282181">
    <w:abstractNumId w:val="1"/>
  </w:num>
  <w:num w:numId="27" w16cid:durableId="769786413">
    <w:abstractNumId w:val="2"/>
  </w:num>
  <w:num w:numId="28" w16cid:durableId="665474927">
    <w:abstractNumId w:val="30"/>
  </w:num>
  <w:num w:numId="29" w16cid:durableId="1395351256">
    <w:abstractNumId w:val="25"/>
  </w:num>
  <w:num w:numId="30" w16cid:durableId="997683808">
    <w:abstractNumId w:val="15"/>
  </w:num>
  <w:num w:numId="31" w16cid:durableId="847911772">
    <w:abstractNumId w:val="22"/>
  </w:num>
  <w:num w:numId="32" w16cid:durableId="888107113">
    <w:abstractNumId w:val="18"/>
  </w:num>
  <w:num w:numId="33" w16cid:durableId="1697196714">
    <w:abstractNumId w:val="4"/>
  </w:num>
  <w:num w:numId="34" w16cid:durableId="61263687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ocumentProtection w:edit="readOnly" w:formatting="1" w:enforcement="1" w:cryptProviderType="rsaAES" w:cryptAlgorithmClass="hash" w:cryptAlgorithmType="typeAny" w:cryptAlgorithmSid="14" w:cryptSpinCount="100000" w:hash="D+2d52QdB2OtNF/80ftTMHZtGHfL6i8swM+lBfjun7AOBGzMA8DVgqGrhiLs6FuWI/llFxGUz4FDZksG84qoxw==" w:salt="LRdVpSq8R/gWGmzEpIcz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1755"/>
    <w:rsid w:val="0001540C"/>
    <w:rsid w:val="000567C6"/>
    <w:rsid w:val="000C1107"/>
    <w:rsid w:val="000C7822"/>
    <w:rsid w:val="001109E5"/>
    <w:rsid w:val="001668F6"/>
    <w:rsid w:val="001A39A4"/>
    <w:rsid w:val="0021373A"/>
    <w:rsid w:val="00223F33"/>
    <w:rsid w:val="002D3BA5"/>
    <w:rsid w:val="002D4442"/>
    <w:rsid w:val="002D7695"/>
    <w:rsid w:val="00320945"/>
    <w:rsid w:val="00321DC9"/>
    <w:rsid w:val="00352BE4"/>
    <w:rsid w:val="003761FB"/>
    <w:rsid w:val="004F0AB9"/>
    <w:rsid w:val="0054234B"/>
    <w:rsid w:val="005710C2"/>
    <w:rsid w:val="005721FF"/>
    <w:rsid w:val="006A236D"/>
    <w:rsid w:val="006C5661"/>
    <w:rsid w:val="00701661"/>
    <w:rsid w:val="0073296A"/>
    <w:rsid w:val="008A6D71"/>
    <w:rsid w:val="008C436E"/>
    <w:rsid w:val="008D3FB8"/>
    <w:rsid w:val="009A22C2"/>
    <w:rsid w:val="00A06D5C"/>
    <w:rsid w:val="00A27B70"/>
    <w:rsid w:val="00A60044"/>
    <w:rsid w:val="00AF7558"/>
    <w:rsid w:val="00B05CAA"/>
    <w:rsid w:val="00B21937"/>
    <w:rsid w:val="00C31D40"/>
    <w:rsid w:val="00D81755"/>
    <w:rsid w:val="00DA3661"/>
    <w:rsid w:val="00E563CC"/>
    <w:rsid w:val="00E66416"/>
    <w:rsid w:val="00EC32A2"/>
    <w:rsid w:val="00F62523"/>
    <w:rsid w:val="00F835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FDBF0"/>
  <w15:docId w15:val="{A4FD8D61-2685-4229-B0C3-B82F7D034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outlineLvl w:val="0"/>
    </w:pPr>
    <w:rPr>
      <w:b/>
      <w:bCs/>
    </w:rPr>
  </w:style>
  <w:style w:type="paragraph" w:styleId="Heading2">
    <w:name w:val="heading 2"/>
    <w:basedOn w:val="Normal"/>
    <w:next w:val="Normal"/>
    <w:uiPriority w:val="9"/>
    <w:unhideWhenUsed/>
    <w:qFormat/>
    <w:pPr>
      <w:keepNext/>
      <w:keepLines/>
      <w:spacing w:before="240"/>
      <w:outlineLvl w:val="1"/>
    </w:pPr>
    <w:rPr>
      <w:b/>
      <w:bCs/>
      <w:sz w:val="20"/>
      <w:szCs w:val="20"/>
    </w:rPr>
  </w:style>
  <w:style w:type="paragraph" w:styleId="Heading3">
    <w:name w:val="heading 3"/>
    <w:basedOn w:val="Normal"/>
    <w:next w:val="Normal"/>
    <w:uiPriority w:val="9"/>
    <w:unhideWhenUsed/>
    <w:qFormat/>
    <w:pPr>
      <w:keepNext/>
      <w:spacing w:before="240" w:after="60"/>
      <w:outlineLvl w:val="2"/>
    </w:pPr>
    <w:rPr>
      <w:rFonts w:ascii="Arial" w:eastAsia="Arial" w:hAnsi="Arial" w:cs="Arial"/>
      <w:b/>
      <w:bCs/>
      <w:sz w:val="26"/>
      <w:szCs w:val="26"/>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spacing w:after="60"/>
      <w:jc w:val="center"/>
    </w:pPr>
    <w:rPr>
      <w:rFonts w:ascii="Calibri" w:eastAsia="Calibri" w:hAnsi="Calibri" w:cs="Calibri"/>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F8359E"/>
  </w:style>
  <w:style w:type="character" w:styleId="Hyperlink">
    <w:name w:val="Hyperlink"/>
    <w:basedOn w:val="DefaultParagraphFont"/>
    <w:uiPriority w:val="99"/>
    <w:unhideWhenUsed/>
    <w:rsid w:val="00E66416"/>
    <w:rPr>
      <w:color w:val="0000FF" w:themeColor="hyperlink"/>
      <w:u w:val="single"/>
    </w:rPr>
  </w:style>
  <w:style w:type="character" w:styleId="UnresolvedMention">
    <w:name w:val="Unresolved Mention"/>
    <w:basedOn w:val="DefaultParagraphFont"/>
    <w:uiPriority w:val="99"/>
    <w:semiHidden/>
    <w:unhideWhenUsed/>
    <w:rsid w:val="00E66416"/>
    <w:rPr>
      <w:color w:val="605E5C"/>
      <w:shd w:val="clear" w:color="auto" w:fill="E1DFDD"/>
    </w:rPr>
  </w:style>
  <w:style w:type="paragraph" w:styleId="TOC1">
    <w:name w:val="toc 1"/>
    <w:basedOn w:val="Normal"/>
    <w:next w:val="Normal"/>
    <w:autoRedefine/>
    <w:uiPriority w:val="39"/>
    <w:unhideWhenUsed/>
    <w:rsid w:val="005721FF"/>
    <w:pPr>
      <w:spacing w:after="100"/>
    </w:pPr>
  </w:style>
  <w:style w:type="paragraph" w:styleId="TOC2">
    <w:name w:val="toc 2"/>
    <w:basedOn w:val="Normal"/>
    <w:next w:val="Normal"/>
    <w:autoRedefine/>
    <w:uiPriority w:val="39"/>
    <w:unhideWhenUsed/>
    <w:rsid w:val="005721FF"/>
    <w:pPr>
      <w:spacing w:after="100"/>
      <w:ind w:left="240"/>
    </w:pPr>
  </w:style>
  <w:style w:type="paragraph" w:styleId="TOC3">
    <w:name w:val="toc 3"/>
    <w:basedOn w:val="Normal"/>
    <w:next w:val="Normal"/>
    <w:autoRedefine/>
    <w:uiPriority w:val="39"/>
    <w:unhideWhenUsed/>
    <w:rsid w:val="005721FF"/>
    <w:pPr>
      <w:spacing w:after="100"/>
      <w:ind w:left="480"/>
    </w:pPr>
  </w:style>
  <w:style w:type="paragraph" w:styleId="TOC4">
    <w:name w:val="toc 4"/>
    <w:basedOn w:val="Normal"/>
    <w:next w:val="Normal"/>
    <w:autoRedefine/>
    <w:uiPriority w:val="39"/>
    <w:unhideWhenUsed/>
    <w:rsid w:val="005721FF"/>
    <w:pPr>
      <w:spacing w:after="100" w:line="278" w:lineRule="auto"/>
      <w:ind w:left="720"/>
    </w:pPr>
    <w:rPr>
      <w:rFonts w:asciiTheme="minorHAnsi" w:eastAsiaTheme="minorEastAsia" w:hAnsiTheme="minorHAnsi" w:cstheme="minorBidi"/>
      <w:kern w:val="2"/>
      <w:lang w:val="en-US"/>
      <w14:ligatures w14:val="standardContextual"/>
    </w:rPr>
  </w:style>
  <w:style w:type="paragraph" w:styleId="TOC5">
    <w:name w:val="toc 5"/>
    <w:basedOn w:val="Normal"/>
    <w:next w:val="Normal"/>
    <w:autoRedefine/>
    <w:uiPriority w:val="39"/>
    <w:unhideWhenUsed/>
    <w:rsid w:val="005721FF"/>
    <w:pPr>
      <w:spacing w:after="100" w:line="278" w:lineRule="auto"/>
      <w:ind w:left="960"/>
    </w:pPr>
    <w:rPr>
      <w:rFonts w:asciiTheme="minorHAnsi" w:eastAsiaTheme="minorEastAsia" w:hAnsiTheme="minorHAnsi" w:cstheme="minorBidi"/>
      <w:kern w:val="2"/>
      <w:lang w:val="en-US"/>
      <w14:ligatures w14:val="standardContextual"/>
    </w:rPr>
  </w:style>
  <w:style w:type="paragraph" w:styleId="TOC6">
    <w:name w:val="toc 6"/>
    <w:basedOn w:val="Normal"/>
    <w:next w:val="Normal"/>
    <w:autoRedefine/>
    <w:uiPriority w:val="39"/>
    <w:unhideWhenUsed/>
    <w:rsid w:val="005721FF"/>
    <w:pPr>
      <w:spacing w:after="100" w:line="278" w:lineRule="auto"/>
      <w:ind w:left="1200"/>
    </w:pPr>
    <w:rPr>
      <w:rFonts w:asciiTheme="minorHAnsi" w:eastAsiaTheme="minorEastAsia" w:hAnsiTheme="minorHAnsi" w:cstheme="minorBidi"/>
      <w:kern w:val="2"/>
      <w:lang w:val="en-US"/>
      <w14:ligatures w14:val="standardContextual"/>
    </w:rPr>
  </w:style>
  <w:style w:type="paragraph" w:styleId="TOC7">
    <w:name w:val="toc 7"/>
    <w:basedOn w:val="Normal"/>
    <w:next w:val="Normal"/>
    <w:autoRedefine/>
    <w:uiPriority w:val="39"/>
    <w:unhideWhenUsed/>
    <w:rsid w:val="005721FF"/>
    <w:pPr>
      <w:spacing w:after="100" w:line="278" w:lineRule="auto"/>
      <w:ind w:left="1440"/>
    </w:pPr>
    <w:rPr>
      <w:rFonts w:asciiTheme="minorHAnsi" w:eastAsiaTheme="minorEastAsia" w:hAnsiTheme="minorHAnsi" w:cstheme="minorBidi"/>
      <w:kern w:val="2"/>
      <w:lang w:val="en-US"/>
      <w14:ligatures w14:val="standardContextual"/>
    </w:rPr>
  </w:style>
  <w:style w:type="paragraph" w:styleId="TOC8">
    <w:name w:val="toc 8"/>
    <w:basedOn w:val="Normal"/>
    <w:next w:val="Normal"/>
    <w:autoRedefine/>
    <w:uiPriority w:val="39"/>
    <w:unhideWhenUsed/>
    <w:rsid w:val="005721FF"/>
    <w:pPr>
      <w:spacing w:after="100" w:line="278" w:lineRule="auto"/>
      <w:ind w:left="1680"/>
    </w:pPr>
    <w:rPr>
      <w:rFonts w:asciiTheme="minorHAnsi" w:eastAsiaTheme="minorEastAsia" w:hAnsiTheme="minorHAnsi" w:cstheme="minorBidi"/>
      <w:kern w:val="2"/>
      <w:lang w:val="en-US"/>
      <w14:ligatures w14:val="standardContextual"/>
    </w:rPr>
  </w:style>
  <w:style w:type="paragraph" w:styleId="TOC9">
    <w:name w:val="toc 9"/>
    <w:basedOn w:val="Normal"/>
    <w:next w:val="Normal"/>
    <w:autoRedefine/>
    <w:uiPriority w:val="39"/>
    <w:unhideWhenUsed/>
    <w:rsid w:val="005721FF"/>
    <w:pPr>
      <w:spacing w:after="100" w:line="278" w:lineRule="auto"/>
      <w:ind w:left="1920"/>
    </w:pPr>
    <w:rPr>
      <w:rFonts w:asciiTheme="minorHAnsi" w:eastAsiaTheme="minorEastAsia" w:hAnsiTheme="minorHAnsi" w:cstheme="minorBidi"/>
      <w:kern w:val="2"/>
      <w:lang w:val="en-US"/>
      <w14:ligatures w14:val="standardContextual"/>
    </w:rPr>
  </w:style>
  <w:style w:type="character" w:styleId="FollowedHyperlink">
    <w:name w:val="FollowedHyperlink"/>
    <w:basedOn w:val="DefaultParagraphFont"/>
    <w:uiPriority w:val="99"/>
    <w:semiHidden/>
    <w:unhideWhenUsed/>
    <w:rsid w:val="000567C6"/>
    <w:rPr>
      <w:color w:val="800080" w:themeColor="followedHyperlink"/>
      <w:u w:val="single"/>
    </w:rPr>
  </w:style>
  <w:style w:type="paragraph" w:styleId="ListParagraph">
    <w:name w:val="List Paragraph"/>
    <w:basedOn w:val="Normal"/>
    <w:uiPriority w:val="34"/>
    <w:qFormat/>
    <w:rsid w:val="00A60044"/>
    <w:pPr>
      <w:ind w:left="720"/>
      <w:contextualSpacing/>
    </w:pPr>
  </w:style>
  <w:style w:type="paragraph" w:styleId="NormalWeb">
    <w:name w:val="Normal (Web)"/>
    <w:basedOn w:val="Normal"/>
    <w:uiPriority w:val="99"/>
    <w:semiHidden/>
    <w:unhideWhenUsed/>
    <w:rsid w:val="00A60044"/>
    <w:pPr>
      <w:spacing w:before="100" w:beforeAutospacing="1" w:after="100" w:afterAutospacing="1"/>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protect.checkpoint.com/v2/___http://www.naces.org___.YzJ1OnN0b255YnJvb2s6YzpnOmE4ODVhMzA2MTM4NmE0ZTE3ZDJmYjI3ZTFjMzFmZGQwOjY6NjY4ZTozNDk5YzIxYTBiNDA0N2NmOWIwNGIxZjhmNzM5ZTc1MDFmNzA5NTkyOGE4NjA1MGFiZWVhOGQ2MzM3NTdkZWZiOnA6VDpO" TargetMode="External"/><Relationship Id="rId21" Type="http://schemas.openxmlformats.org/officeDocument/2006/relationships/hyperlink" Target="https://protect.checkpoint.com/v2/___http://www.naces.org___.YzJ1OnN0b255YnJvb2s6YzpnOmE4ODVhMzA2MTM4NmE0ZTE3ZDJmYjI3ZTFjMzFmZGQwOjY6NjY4ZTozNDk5YzIxYTBiNDA0N2NmOWIwNGIxZjhmNzM5ZTc1MDFmNzA5NTkyOGE4NjA1MGFiZWVhOGQ2MzM3NTdkZWZiOnA6VDpO" TargetMode="External"/><Relationship Id="rId42" Type="http://schemas.openxmlformats.org/officeDocument/2006/relationships/hyperlink" Target="https://catalog.stonybrook.edu/index.php?catoid=12" TargetMode="External"/><Relationship Id="rId47" Type="http://schemas.openxmlformats.org/officeDocument/2006/relationships/hyperlink" Target="https://www.stonybrook.edu/sb/graduatebulletin/current/academicprograms/phc/www.gradsunysb.edu" TargetMode="External"/><Relationship Id="rId63" Type="http://schemas.openxmlformats.org/officeDocument/2006/relationships/hyperlink" Target="https://protect.checkpoint.com/v2/___http://www.stonybrook.edu/solarsystem___.YzJ1OnN0b255YnJvb2s6YzpnOmE4ODVhMzA2MTM4NmE0ZTE3ZDJmYjI3ZTFjMzFmZGQwOjY6MWZhNjoxYzNkNzYwN2M0YmQyMzljMzZmN2QzMzA1ZjVjMmE0MGZmMTQ1MTAwNzMxYjRlMzAxODU1ZDVkNzJjNmM2ZjEzOnA6VDpO" TargetMode="External"/><Relationship Id="rId68" Type="http://schemas.openxmlformats.org/officeDocument/2006/relationships/hyperlink" Target="https://protect.checkpoint.com/v2/___http://www.stonybrook.edu/solarsystem___.YzJ1OnN0b255YnJvb2s6YzpnOmE4ODVhMzA2MTM4NmE0ZTE3ZDJmYjI3ZTFjMzFmZGQwOjY6MWZhNjoxYzNkNzYwN2M0YmQyMzljMzZmN2QzMzA1ZjVjMmE0MGZmMTQ1MTAwNzMxYjRlMzAxODU1ZDVkNzJjNmM2ZjEzOnA6VDpO" TargetMode="External"/><Relationship Id="rId16" Type="http://schemas.openxmlformats.org/officeDocument/2006/relationships/hyperlink" Target="https://protect.checkpoint.com/v2/___http://publichealth.stonybrookmedicine.edu/about/visionmissionandgoals___.YzJ1OnN0b255YnJvb2s6YzpnOmE4ODVhMzA2MTM4NmE0ZTE3ZDJmYjI3ZTFjMzFmZGQwOjY6ZmViMzplMmU1OTQ3MzJkZjgzOWI4MmRhNjk3MjViYzJiODZjYTZiODFiNDRjOGQ3YjY5YjhjY2EwZWQ3ZjJiMmIyNDAwOnA6VDpO" TargetMode="External"/><Relationship Id="rId11" Type="http://schemas.openxmlformats.org/officeDocument/2006/relationships/hyperlink" Target="mailto:dylan.smith@stonybrookmedicine.edu" TargetMode="External"/><Relationship Id="rId24" Type="http://schemas.openxmlformats.org/officeDocument/2006/relationships/hyperlink" Target="https://protect.checkpoint.com/v2/___http://www.nchl.org/___.YzJ1OnN0b255YnJvb2s6YzpnOmE4ODVhMzA2MTM4NmE0ZTE3ZDJmYjI3ZTFjMzFmZGQwOjY6MTNmMzpjYmZkNWRkYWQ1ODViZWM1YWZlZDQ2MzY2YWQwNjlkMDVhZWRmY2I4OTM3N2FiNWFjY2VhZWVlODlmODFjYTJhOnA6VDpO" TargetMode="External"/><Relationship Id="rId32" Type="http://schemas.openxmlformats.org/officeDocument/2006/relationships/hyperlink" Target="https://catalog.stonybrook.edu/preview_program.php?catoid=12&amp;poid=1789&amp;returnto=1356" TargetMode="External"/><Relationship Id="rId37" Type="http://schemas.openxmlformats.org/officeDocument/2006/relationships/hyperlink" Target="https://protect.checkpoint.com/v2/___http://www.naces.org/___.YzJ1OnN0b255YnJvb2s6YzpnOmE4ODVhMzA2MTM4NmE0ZTE3ZDJmYjI3ZTFjMzFmZGQwOjY6OGI5ODpiMmVkN2E0MzNmYzAzNmY0YTFiMDE5YmFlYjQwNTRmNDg1YjAwOTI4MDc0ZGQ4Y2EwOTk4YzZjMjM4NjVkODVmOnA6VDpO" TargetMode="External"/><Relationship Id="rId40" Type="http://schemas.openxmlformats.org/officeDocument/2006/relationships/hyperlink" Target="https://protect.checkpoint.com/v2/___https://publichealth.stonybrookmedicine.edu/phcor/funding___.YzJ1OnN0b255YnJvb2s6YzpnOmE4ODVhMzA2MTM4NmE0ZTE3ZDJmYjI3ZTFjMzFmZGQwOjY6NzVhNzphNmJmYzQ2ZTRlOGQ5NDFkMWFjZmJjYWFmNGMyOTc5NzUxMzhmNWFjMWU2ODAzMzM0MWRmNDE3MzYyZjkyNTIxOnA6VDpO" TargetMode="External"/><Relationship Id="rId45" Type="http://schemas.openxmlformats.org/officeDocument/2006/relationships/hyperlink" Target="https://catalog.stonybrook.edu/content.php?catoid=4&amp;navoid=188" TargetMode="External"/><Relationship Id="rId53" Type="http://schemas.openxmlformats.org/officeDocument/2006/relationships/hyperlink" Target="https://protect.checkpoint.com/v2/___http://www.citiprogram.org___.YzJ1OnN0b255YnJvb2s6YzpnOmE4ODVhMzA2MTM4NmE0ZTE3ZDJmYjI3ZTFjMzFmZGQwOjY6Y2JkNDoxODE0NjliZjMxNDBhN2FhYWQ0Nzc4ZDNlOWQ5NjExOTA1YWQ4MDVmZjZiMGRjNjFlMzdlYjc3NzJkMzJhNDgzOnA6VDpO" TargetMode="External"/><Relationship Id="rId58" Type="http://schemas.openxmlformats.org/officeDocument/2006/relationships/hyperlink" Target="https://protect.checkpoint.com/v2/___http://www.stonybrook.edu/sb/newstudents/nshealthrequirements.shtml___.YzJ1OnN0b255YnJvb2s6YzpnOmE4ODVhMzA2MTM4NmE0ZTE3ZDJmYjI3ZTFjMzFmZGQwOjY6ZjFhNDo3NWNmMDdlYWE0ODUwYWM2Zjg3ZWQxYmE2OWFiNmVjYmU4OGMzMDhhYjNlMmExYjFjZmViMDFjNmM3Y2IxZjJmOnA6VDpO" TargetMode="External"/><Relationship Id="rId66" Type="http://schemas.openxmlformats.org/officeDocument/2006/relationships/hyperlink" Target="https://protect.checkpoint.com/v2/___http://studentaffairs.stonybrook.edu/shs/forms.shtml___.YzJ1OnN0b255YnJvb2s6YzpnOmE4ODVhMzA2MTM4NmE0ZTE3ZDJmYjI3ZTFjMzFmZGQwOjY6MDhkZTo2YjkxOTY5ZjhkYWYwZGU5NjRkMzYxOGNiZTM1Y2ZhY2QxZmI3MDA1ZDk0M2ZhYmE4NmRiOTkwOWRkZDM2ZWE2OnA6VDpO" TargetMode="External"/><Relationship Id="rId74" Type="http://schemas.openxmlformats.org/officeDocument/2006/relationships/hyperlink" Target="https://hr.stonybrookmedicine.edu/benefits/tuitionreimbursement" TargetMode="External"/><Relationship Id="rId5" Type="http://schemas.openxmlformats.org/officeDocument/2006/relationships/webSettings" Target="webSettings.xml"/><Relationship Id="rId61" Type="http://schemas.openxmlformats.org/officeDocument/2006/relationships/hyperlink" Target="https://protect.checkpoint.com/v2/___http://studentaffairs.stonybrook.edu/shs/forms.shtml___.YzJ1OnN0b255YnJvb2s6YzpnOmE4ODVhMzA2MTM4NmE0ZTE3ZDJmYjI3ZTFjMzFmZGQwOjY6MDhkZTo2YjkxOTY5ZjhkYWYwZGU5NjRkMzYxOGNiZTM1Y2ZhY2QxZmI3MDA1ZDk0M2ZhYmE4NmRiOTkwOWRkZDM2ZWE2OnA6VDpO" TargetMode="External"/><Relationship Id="rId19" Type="http://schemas.openxmlformats.org/officeDocument/2006/relationships/hyperlink" Target="https://protect.checkpoint.com/v2/___https://publichealth.stonybrookmedicine.edu/academics/competencies___.YzJ1OnN0b255YnJvb2s6YzpnOmE4ODVhMzA2MTM4NmE0ZTE3ZDJmYjI3ZTFjMzFmZGQwOjY6YTZjNjo0OTU4YTQwZjc0N2UxZmUwNjFjZWY5Yjk1NjUyMGZjMTI1MTFmODBlOWU3ODcxMTJjNjQ3ZmE3M2Y5NzE2MTc2OnA6VDpO" TargetMode="External"/><Relationship Id="rId14" Type="http://schemas.openxmlformats.org/officeDocument/2006/relationships/hyperlink" Target="mailto:olga.aroniadis@stonybrookmedicine.edu" TargetMode="External"/><Relationship Id="rId22" Type="http://schemas.openxmlformats.org/officeDocument/2006/relationships/hyperlink" Target="https://protect.checkpoint.com/v2/___http://www.wes.org___.YzJ1OnN0b255YnJvb2s6YzpnOmE4ODVhMzA2MTM4NmE0ZTE3ZDJmYjI3ZTFjMzFmZGQwOjY6M2NjMDphYWYyNmQwNjU5MmQ1ZmI0ODViOGRjY2EyMzc5ZjU2NDQ2Mzc1MjcxNzYzMDBmYTNmMmJhZjc4ZjRlNmViNzdhOnA6VDpO" TargetMode="External"/><Relationship Id="rId27" Type="http://schemas.openxmlformats.org/officeDocument/2006/relationships/hyperlink" Target="https://protect.checkpoint.com/v2/___http://www.wes.org___.YzJ1OnN0b255YnJvb2s6YzpnOmE4ODVhMzA2MTM4NmE0ZTE3ZDJmYjI3ZTFjMzFmZGQwOjY6M2NjMDphYWYyNmQwNjU5MmQ1ZmI0ODViOGRjY2EyMzc5ZjU2NDQ2Mzc1MjcxNzYzMDBmYTNmMmJhZjc4ZjRlNmViNzdhOnA6VDpO" TargetMode="External"/><Relationship Id="rId30" Type="http://schemas.openxmlformats.org/officeDocument/2006/relationships/hyperlink" Target="https://protect.checkpoint.com/v2/r01/___https://www.health.ny.gov/professionals/nursing_home_administrator/licensure_program/qualifications.htm___.YzJ1OnN0b255YnJvb2s6YzpnOjUxZmJiNjg0YTVkOGIyZDVmOTJmOWQ4YzFjNjg4MWUzOjc6NTU2ODpmNWMyN2Y2OGNlMTIxY2JmZWNkMGM4YTI2ZTE1NDQ3MWM3YzJlYjY3MTZmMDg0ODVkNzYzOTYwNmY5MmY2OTM2OnA6VDpG" TargetMode="External"/><Relationship Id="rId35" Type="http://schemas.openxmlformats.org/officeDocument/2006/relationships/hyperlink" Target="https://protect.checkpoint.com/v2/___https://publichealth.stonybrookmedicine.edu/admissions___.YzJ1OnN0b255YnJvb2s6YzpnOmE4ODVhMzA2MTM4NmE0ZTE3ZDJmYjI3ZTFjMzFmZGQwOjY6NjczZTo4YThhODEyYTRiZGIyZmZhODVmOWQ0NWNmMjI1NTU1NWUwMThmMzhkMWY3OTY4YmU0MmZmMGQ0NWUwY2FlYzI2OnA6VDpO" TargetMode="External"/><Relationship Id="rId43" Type="http://schemas.openxmlformats.org/officeDocument/2006/relationships/hyperlink" Target="https://catalog.stonybrook.edu/content.php?catoid=4&amp;navoid=188&amp;hl=%22time+limit%22&amp;returnto=search" TargetMode="External"/><Relationship Id="rId48" Type="http://schemas.openxmlformats.org/officeDocument/2006/relationships/hyperlink" Target="https://www.stonybrook.edu/grad/academics/student-resources/graduation-information/graduation-information.html" TargetMode="External"/><Relationship Id="rId56" Type="http://schemas.openxmlformats.org/officeDocument/2006/relationships/hyperlink" Target="https://higherlogicdownload.s3.amazonaws.com/AUPHA/5c0a0c07-a7f7-413e-ad73-9b7133ca4c38/UploadedImages/governance%20docs/AUPHA_Statement_of_Commitment_to_Diversity_Equity_Inclusion_Belonging_and_Social_Justice_Final.pdf" TargetMode="External"/><Relationship Id="rId64" Type="http://schemas.openxmlformats.org/officeDocument/2006/relationships/hyperlink" Target="https://protect.checkpoint.com/v2/___http://www.stonybrook.edu/sb/newstudents/immunizationrecords.pdf___.YzJ1OnN0b255YnJvb2s6YzpnOmE4ODVhMzA2MTM4NmE0ZTE3ZDJmYjI3ZTFjMzFmZGQwOjY6Y2NiNTo1N2E4NzYyYzAwMzdlZDcwMjJmNjljMzU5ZDIzNWZkZjE2YzBhZGQwNjlmYTU4ODg1OGZjYTE3ZjM3OGQzZTdmOnA6VDpO" TargetMode="External"/><Relationship Id="rId69" Type="http://schemas.openxmlformats.org/officeDocument/2006/relationships/hyperlink" Target="https://www.stonybrook.edu/commcms/foodpantry/" TargetMode="External"/><Relationship Id="rId77"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s://www.stonybrook.edu/reportit/" TargetMode="External"/><Relationship Id="rId72" Type="http://schemas.openxmlformats.org/officeDocument/2006/relationships/hyperlink" Target="https://www.stonybrook.edu/human-resources/total-rewards/tuition-assistance.php" TargetMode="External"/><Relationship Id="rId3" Type="http://schemas.openxmlformats.org/officeDocument/2006/relationships/styles" Target="styles.xml"/><Relationship Id="rId12" Type="http://schemas.openxmlformats.org/officeDocument/2006/relationships/hyperlink" Target="mailto:lisa.benzscott@stonybrook.edu" TargetMode="External"/><Relationship Id="rId17" Type="http://schemas.openxmlformats.org/officeDocument/2006/relationships/hyperlink" Target="https://protect.checkpoint.com/v2/___https://www.nbphe.org/___.YzJ1OnN0b255YnJvb2s6YzpnOmE4ODVhMzA2MTM4NmE0ZTE3ZDJmYjI3ZTFjMzFmZGQwOjY6NDU2MTo5ZGE0Y2JkZmUyZGNlMjlkMzA4Y2E2NmRlMGIzOGVmZjQ5YmQ0YWFmYWRlNWMxNWM4OWZmZDI5OWQzYzdhYTdkOnA6VDpO" TargetMode="External"/><Relationship Id="rId25" Type="http://schemas.openxmlformats.org/officeDocument/2006/relationships/hyperlink" Target="https://catalog.stonybrook.edu/preview_program.php?catoid=13&amp;poid=1866&amp;returnto=1458" TargetMode="External"/><Relationship Id="rId33" Type="http://schemas.openxmlformats.org/officeDocument/2006/relationships/hyperlink" Target="https://protect.checkpoint.com/v2/___https://publichealth.stonybrookmedicine.edu/admissions___.YzJ1OnN0b255YnJvb2s6YzpnOmE4ODVhMzA2MTM4NmE0ZTE3ZDJmYjI3ZTFjMzFmZGQwOjY6NjczZTo4YThhODEyYTRiZGIyZmZhODVmOWQ0NWNmMjI1NTU1NWUwMThmMzhkMWY3OTY4YmU0MmZmMGQ0NWUwY2FlYzI2OnA6VDpO" TargetMode="External"/><Relationship Id="rId38" Type="http://schemas.openxmlformats.org/officeDocument/2006/relationships/hyperlink" Target="https://protect.checkpoint.com/v2/___http://www.wes.org/___.YzJ1OnN0b255YnJvb2s6YzpnOmE4ODVhMzA2MTM4NmE0ZTE3ZDJmYjI3ZTFjMzFmZGQwOjY6MTBjZDo1M2QxNjZmOWQ0ZTgxNjZlZmU2ZTQzY2NhN2Y1MDhlYTEzNTI1MDYxZjkwMTNiZWI0NTI2ZDk4M2U0YWEwOGNhOnA6VDpO" TargetMode="External"/><Relationship Id="rId46" Type="http://schemas.openxmlformats.org/officeDocument/2006/relationships/hyperlink" Target="https://www.stonybrook.edu/commcms/grad/academics/dissertation_thesis_submission.php" TargetMode="External"/><Relationship Id="rId59" Type="http://schemas.openxmlformats.org/officeDocument/2006/relationships/hyperlink" Target="https://protect.checkpoint.com/v2/___http://studentaffairs.stonybrook.edu/shs/forms.shtml___.YzJ1OnN0b255YnJvb2s6YzpnOmE4ODVhMzA2MTM4NmE0ZTE3ZDJmYjI3ZTFjMzFmZGQwOjY6MDhkZTo2YjkxOTY5ZjhkYWYwZGU5NjRkMzYxOGNiZTM1Y2ZhY2QxZmI3MDA1ZDk0M2ZhYmE4NmRiOTkwOWRkZDM2ZWE2OnA6VDpO" TargetMode="External"/><Relationship Id="rId67" Type="http://schemas.openxmlformats.org/officeDocument/2006/relationships/hyperlink" Target="https://protect.checkpoint.com/v2/___http://studentaffairs.stonybrook.edu/shs/forms.shtml___.YzJ1OnN0b255YnJvb2s6YzpnOmE4ODVhMzA2MTM4NmE0ZTE3ZDJmYjI3ZTFjMzFmZGQwOjY6MDhkZTo2YjkxOTY5ZjhkYWYwZGU5NjRkMzYxOGNiZTM1Y2ZhY2QxZmI3MDA1ZDk0M2ZhYmE4NmRiOTkwOWRkZDM2ZWE2OnA6VDpO" TargetMode="External"/><Relationship Id="rId20" Type="http://schemas.openxmlformats.org/officeDocument/2006/relationships/hyperlink" Target="https://catalog.stonybrook.edu/content.php?catoid=13&amp;navoid=1458" TargetMode="External"/><Relationship Id="rId41" Type="http://schemas.openxmlformats.org/officeDocument/2006/relationships/hyperlink" Target="mailto:publichealth@stonybrookmedicine.edu" TargetMode="External"/><Relationship Id="rId54" Type="http://schemas.openxmlformats.org/officeDocument/2006/relationships/hyperlink" Target="mailto:publichealth@stonybrookmedicine.edu" TargetMode="External"/><Relationship Id="rId62" Type="http://schemas.openxmlformats.org/officeDocument/2006/relationships/hyperlink" Target="https://protect.checkpoint.com/v2/___http://studentaffairs.stonybrook.edu/shs/forms.shtml___.YzJ1OnN0b255YnJvb2s6YzpnOmE4ODVhMzA2MTM4NmE0ZTE3ZDJmYjI3ZTFjMzFmZGQwOjY6MDhkZTo2YjkxOTY5ZjhkYWYwZGU5NjRkMzYxOGNiZTM1Y2ZhY2QxZmI3MDA1ZDk0M2ZhYmE4NmRiOTkwOWRkZDM2ZWE2OnA6VDpO" TargetMode="External"/><Relationship Id="rId70" Type="http://schemas.openxmlformats.org/officeDocument/2006/relationships/hyperlink" Target="https://protect.checkpoint.com/v2/___http://sbumc.informatics.sunysb.edu/medicalcenter/tuitionreimbursement___.YzJ1OnN0b255YnJvb2s6YzpnOmE4ODVhMzA2MTM4NmE0ZTE3ZDJmYjI3ZTFjMzFmZGQwOjY6MTdlYTpiOTQxNDlkMTk2NDA1ZGY2MmQ1YzQxMjQzYzI1ODYwOTlhNDBmNmUwZTkyZWMxYjQ2NTRlZTI5NWY3YTY1ZWE2OnA6VDpO" TargetMode="External"/><Relationship Id="rId75"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Alina.denham@stonybrookmedicine.edy" TargetMode="External"/><Relationship Id="rId23" Type="http://schemas.openxmlformats.org/officeDocument/2006/relationships/hyperlink" Target="https://protect.checkpoint.com/v2/___https://www.cahme.org/___.YzJ1OnN0b255YnJvb2s6YzpnOmE4ODVhMzA2MTM4NmE0ZTE3ZDJmYjI3ZTFjMzFmZGQwOjY6YjU3MzpjODY1OGFkMGNjMTVlNDVjZTYwZTZkZmI5ZGRkNGE1NWEzNTU5NGEwMzRhNTA5ODdlMTE1ODVlNGE2N2IxNTkzOnA6VDpO" TargetMode="External"/><Relationship Id="rId28" Type="http://schemas.openxmlformats.org/officeDocument/2006/relationships/hyperlink" Target="https://protect.checkpoint.com/v2/___http://www.stonybrook.edu/bursar___.YzJ1OnN0b255YnJvb2s6YzpnOmE4ODVhMzA2MTM4NmE0ZTE3ZDJmYjI3ZTFjMzFmZGQwOjY6ZjI2NTowMTRjNTdlODQzMGEyZGEwYjk5OWI2NzY3YmMyYWY0MGI0MjY2OTU2ZDkyMWM3NmU2NThhY2RkOGQ1MDFmOWViOnA6VDpO" TargetMode="External"/><Relationship Id="rId36" Type="http://schemas.openxmlformats.org/officeDocument/2006/relationships/hyperlink" Target="https://protect.checkpoint.com/v2/___https://publichealth.stonybrookmedicine.edu/phcor/funding___.YzJ1OnN0b255YnJvb2s6YzpnOmE4ODVhMzA2MTM4NmE0ZTE3ZDJmYjI3ZTFjMzFmZGQwOjY6NzVhNzphNmJmYzQ2ZTRlOGQ5NDFkMWFjZmJjYWFmNGMyOTc5NzUxMzhmNWFjMWU2ODAzMzM0MWRmNDE3MzYyZjkyNTIxOnA6VDpO" TargetMode="External"/><Relationship Id="rId49" Type="http://schemas.openxmlformats.org/officeDocument/2006/relationships/hyperlink" Target="https://wpacouncil.org/aws/CWPA/pt/sd/news_article/272555/_PARENT/layout_details/false" TargetMode="External"/><Relationship Id="rId57" Type="http://schemas.openxmlformats.org/officeDocument/2006/relationships/hyperlink" Target="https://protect.checkpoint.com/v2/___https://www.stonybrook.edu/commcms/oea/___.YzJ1OnN0b255YnJvb2s6YzpnOmE4ODVhMzA2MTM4NmE0ZTE3ZDJmYjI3ZTFjMzFmZGQwOjY6OTNmMTo0NGM5OTk0MDI3YzQ1ZTU0NjdhN2EwNGY4Y2Y3ZDBjZTVkYWYwM2QwMmEyYzJhMzk3YjE0OTc5YWI0MDIyYmNiOnA6VDpO" TargetMode="External"/><Relationship Id="rId10" Type="http://schemas.openxmlformats.org/officeDocument/2006/relationships/hyperlink" Target="mailto:lisa.benzscott@stonybrook.edu" TargetMode="External"/><Relationship Id="rId31" Type="http://schemas.openxmlformats.org/officeDocument/2006/relationships/hyperlink" Target="https://protect.checkpoint.com/v2/___http://publichealth.stonybrookmedicine.edu/___.YzJ1OnN0b255YnJvb2s6YzpnOmE4ODVhMzA2MTM4NmE0ZTE3ZDJmYjI3ZTFjMzFmZGQwOjY6YjhlMzo1NDM1ODkxZGQ5ZmQ2ZmE3MmM0ZjhlZDFiYjU5Y2I2NmM5MDdjZGQxOGFlZmYyYWU0ZTA3MzQxOTk3NDBiNzNhOnA6VDpO" TargetMode="External"/><Relationship Id="rId44" Type="http://schemas.openxmlformats.org/officeDocument/2006/relationships/hyperlink" Target="https://catalog.stonybrook.edu/content.php?catoid=4&amp;navoid=188" TargetMode="External"/><Relationship Id="rId52" Type="http://schemas.openxmlformats.org/officeDocument/2006/relationships/hyperlink" Target="https://protect.checkpoint.com/v2/___http://studentaffairs.stonybrook.edu/ucs/conduct/conduct.html%20%20___.YzJ1OnN0b255YnJvb2s6YzpnOmE4ODVhMzA2MTM4NmE0ZTE3ZDJmYjI3ZTFjMzFmZGQwOjY6Zjg4MTpkNjRlYjk0ODNmYTQ2YWQzNTdiZWEwMmE5MjYwY2Q1ZGU0N2ZhYTg3Yzg0M2E4ZGYzZGYyOGFlZTRjMjUzNTg4OnA6VDpO" TargetMode="External"/><Relationship Id="rId60" Type="http://schemas.openxmlformats.org/officeDocument/2006/relationships/hyperlink" Target="https://protect.checkpoint.com/v2/___http://studentaffairs.stonybrook.edu/shs/MMR_Meningitis_Policy.shtml___.YzJ1OnN0b255YnJvb2s6YzpnOmE4ODVhMzA2MTM4NmE0ZTE3ZDJmYjI3ZTFjMzFmZGQwOjY6MTVhYToyMjEzM2ZjN2RlOWZjNmU0NjVhZTk5MTZhZjQ1MGMyMGI0NTU3NDUxZWQyMGMxMzI3MzFjN2U4OWExYmEwNjBlOnA6VDpO" TargetMode="External"/><Relationship Id="rId65" Type="http://schemas.openxmlformats.org/officeDocument/2006/relationships/hyperlink" Target="https://protect.checkpoint.com/v2/___http://studentaffairs.stonybrook.edu/shs/MMR_Meningitis_Policy.shtml___.YzJ1OnN0b255YnJvb2s6YzpnOmE4ODVhMzA2MTM4NmE0ZTE3ZDJmYjI3ZTFjMzFmZGQwOjY6MTVhYToyMjEzM2ZjN2RlOWZjNmU0NjVhZTk5MTZhZjQ1MGMyMGI0NTU3NDUxZWQyMGMxMzI3MzFjN2U4OWExYmEwNjBlOnA6VDpO" TargetMode="External"/><Relationship Id="rId73" Type="http://schemas.openxmlformats.org/officeDocument/2006/relationships/footer" Target="footer1.xml"/><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protect.checkpoint.com/v2/___http://publichealth.stonybrookmedicine.edu/___.YzJ1OnN0b255YnJvb2s6YzpnOmE4ODVhMzA2MTM4NmE0ZTE3ZDJmYjI3ZTFjMzFmZGQwOjY6YjhlMzo1NDM1ODkxZGQ5ZmQ2ZmE3MmM0ZjhlZDFiYjU5Y2I2NmM5MDdjZGQxOGFlZmYyYWU0ZTA3MzQxOTk3NDBiNzNhOnA6VDpO" TargetMode="External"/><Relationship Id="rId13" Type="http://schemas.openxmlformats.org/officeDocument/2006/relationships/hyperlink" Target="mailto:rachel.kidman@stonybrookmedicine.edu" TargetMode="External"/><Relationship Id="rId18" Type="http://schemas.openxmlformats.org/officeDocument/2006/relationships/hyperlink" Target="https://protect.checkpoint.com/v2/___https://publichealth.stonybrookmedicine.edu/academics/competencies___.YzJ1OnN0b255YnJvb2s6YzpnOmE4ODVhMzA2MTM4NmE0ZTE3ZDJmYjI3ZTFjMzFmZGQwOjY6YTZjNjo0OTU4YTQwZjc0N2UxZmUwNjFjZWY5Yjk1NjUyMGZjMTI1MTFmODBlOWU3ODcxMTJjNjQ3ZmE3M2Y5NzE2MTc2OnA6VDpO" TargetMode="External"/><Relationship Id="rId39" Type="http://schemas.openxmlformats.org/officeDocument/2006/relationships/hyperlink" Target="https://protect.checkpoint.com/v2/___http://www.stonybrook.edu/commcms/visa/___.YzJ1OnN0b255YnJvb2s6YzpnOmE4ODVhMzA2MTM4NmE0ZTE3ZDJmYjI3ZTFjMzFmZGQwOjY6MWE1OTozYTYwOWVkMzBmZjcwNjcxMTA5MmYxZGExMzA2MjRlZWRjZDIwNjhkMzk2ZWYzZWE1ZWYwMTNhNTkzNTM2NzUyOnA6VDpO" TargetMode="External"/><Relationship Id="rId34" Type="http://schemas.openxmlformats.org/officeDocument/2006/relationships/hyperlink" Target="https://catalog.stonybrook.edu/preview_program.php?catoid=12&amp;poid=1789&amp;returnto=1356" TargetMode="External"/><Relationship Id="rId50" Type="http://schemas.openxmlformats.org/officeDocument/2006/relationships/hyperlink" Target="https://wpacouncil.org/aws/CWPA/pt/sd/news_article/272555/_PARENT/layout_details/false" TargetMode="External"/><Relationship Id="rId55" Type="http://schemas.openxmlformats.org/officeDocument/2006/relationships/hyperlink" Target="https://s3.amazonaws.com/aspph-wp-production/wp-content/uploads/2014/02/ASPPH_Statement_of_Commitment_to_Zero_Tolerance_of_Harassment_and_Discrimination.pdf" TargetMode="External"/><Relationship Id="rId76"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hyperlink" Target="https://www.stonybrook.edu/human-resources/total-rewards/tuition-assistance.php" TargetMode="External"/><Relationship Id="rId2" Type="http://schemas.openxmlformats.org/officeDocument/2006/relationships/numbering" Target="numbering.xml"/><Relationship Id="rId29" Type="http://schemas.openxmlformats.org/officeDocument/2006/relationships/hyperlink" Target="https://protect.checkpoint.com/v2/___http://www.stonybrook.edu/bursar___.YzJ1OnN0b255YnJvb2s6YzpnOmE4ODVhMzA2MTM4NmE0ZTE3ZDJmYjI3ZTFjMzFmZGQwOjY6ZjI2NTowMTRjNTdlODQzMGEyZGEwYjk5OWI2NzY3YmMyYWY0MGI0MjY2OTU2ZDkyMWM3NmU2NThhY2RkOGQ1MDFmOWViOnA6VDpO"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TdQc/NX7o6pBSnT69WrJ2eXuzg==">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170</TotalTime>
  <Pages>51</Pages>
  <Words>30617</Words>
  <Characters>174518</Characters>
  <Application>Microsoft Office Word</Application>
  <DocSecurity>8</DocSecurity>
  <Lines>1454</Lines>
  <Paragraphs>409</Paragraphs>
  <ScaleCrop>false</ScaleCrop>
  <Company/>
  <LinksUpToDate>false</LinksUpToDate>
  <CharactersWithSpaces>204726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Ramsoondar, Lakshmi</dc:creator>
  <cp:lastModifiedBy>Ramsoondar, Lakshmi</cp:lastModifiedBy>
  <cp:revision>6</cp:revision>
  <cp:lastPrinted>2026-08-27T19:56:00Z</cp:lastPrinted>
  <dcterms:created xsi:type="dcterms:W3CDTF">2026-08-27T19:46:00Z</dcterms:created>
  <dcterms:modified xsi:type="dcterms:W3CDTF">2026-08-27T22:54:00Z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0x010100C9F01D0A26432A41B33187CD4D8E712D</vt:lpwstr>
  </property>
  <property fmtid="{D5CDD505-2E9C-101B-9397-08002B2CF9AE}" pid="3" name="GrammarlyDocumentId">
    <vt:lpwstr>3f748fb2abc2bcce0b634ea7135e09412bdb06a1f342050587f229e69c6ac6b6</vt:lpwstr>
  </property>
</Properties>
</file>